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D36EDB" w14:textId="6FBE5F2B" w:rsidR="005810E5" w:rsidRPr="008E2ED8" w:rsidRDefault="005810E5" w:rsidP="008E2ED8">
      <w:pPr>
        <w:spacing w:line="200" w:lineRule="atLeast"/>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發行人國泰綜合證券股份有限公司</w:t>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行政院金融監督管理委員會九十五年三月十日金管證二字第</w:t>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九四</w:t>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一六一二六八號函認可發行認購</w:t>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售</w:t>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權證資格在案</w:t>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發行</w:t>
      </w:r>
      <w:r>
        <w:rPr>
          <w:rFonts w:ascii="Arial" w:eastAsia="標楷體" w:hAnsi="Arial" w:cs="Arial" w:hint="eastAsia"/>
          <w:color w:val="000000" w:themeColor="text1"/>
          <w:sz w:val="18"/>
          <w:szCs w:val="18"/>
        </w:rPr>
        <w:t>亞翔工程股份有限公司普通股</w:t>
      </w:r>
      <w:r w:rsidR="0080085B" w:rsidRPr="008E2ED8">
        <w:rPr>
          <w:rFonts w:ascii="Arial" w:eastAsia="標楷體" w:hAnsi="Arial" w:cs="Arial"/>
          <w:color w:val="000000" w:themeColor="text1"/>
          <w:sz w:val="18"/>
          <w:szCs w:val="18"/>
        </w:rPr>
        <w:t>認購權證</w:t>
      </w:r>
      <w:r w:rsidRPr="008E2ED8">
        <w:rPr>
          <w:rFonts w:ascii="Arial" w:eastAsia="標楷體" w:hAnsi="Arial" w:cs="Arial"/>
          <w:color w:val="000000" w:themeColor="text1"/>
          <w:sz w:val="18"/>
          <w:szCs w:val="18"/>
        </w:rPr>
        <w:t>。計</w:t>
      </w:r>
      <w:r>
        <w:rPr>
          <w:rFonts w:ascii="Arial" w:eastAsia="標楷體" w:hAnsi="Arial" w:cs="Arial" w:hint="eastAsia"/>
          <w:b/>
          <w:bCs/>
          <w:color w:val="000000" w:themeColor="text1"/>
          <w:sz w:val="18"/>
          <w:szCs w:val="18"/>
        </w:rPr>
        <w:t>5,000,000</w:t>
      </w:r>
      <w:r w:rsidR="008F5FCF" w:rsidRPr="008E2ED8">
        <w:rPr>
          <w:rFonts w:ascii="Arial" w:eastAsia="標楷體" w:hAnsi="Arial" w:cs="Arial"/>
          <w:b/>
          <w:bCs/>
          <w:color w:val="000000" w:themeColor="text1"/>
          <w:sz w:val="18"/>
          <w:szCs w:val="18"/>
        </w:rPr>
        <w:t xml:space="preserve"> </w:t>
      </w:r>
      <w:r w:rsidRPr="008E2ED8">
        <w:rPr>
          <w:rFonts w:ascii="Arial" w:eastAsia="標楷體" w:hAnsi="Arial" w:cs="Arial"/>
          <w:color w:val="000000" w:themeColor="text1"/>
          <w:sz w:val="18"/>
          <w:szCs w:val="18"/>
        </w:rPr>
        <w:t>個單位，採自行銷售方式辦理對外公開銷售。</w:t>
      </w:r>
    </w:p>
    <w:p w14:paraId="61508A9E" w14:textId="77777777" w:rsidR="009B60F1" w:rsidRPr="008E2ED8" w:rsidRDefault="008F5FCF" w:rsidP="008E2ED8">
      <w:pPr>
        <w:snapToGrid w:val="0"/>
        <w:spacing w:line="200" w:lineRule="atLeast"/>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亞翔工程股份有限公司普通股</w:t>
      </w:r>
      <w:r w:rsidR="0080085B" w:rsidRPr="008E2ED8">
        <w:rPr>
          <w:rFonts w:ascii="Arial" w:eastAsia="標楷體" w:hAnsi="Arial" w:cs="Arial"/>
          <w:color w:val="000000" w:themeColor="text1"/>
          <w:sz w:val="18"/>
          <w:szCs w:val="18"/>
        </w:rPr>
        <w:t>認購權證</w:t>
      </w:r>
      <w:r w:rsidR="009B60F1" w:rsidRPr="008E2ED8">
        <w:rPr>
          <w:rFonts w:ascii="Arial" w:eastAsia="標楷體" w:hAnsi="Arial" w:cs="Arial"/>
          <w:color w:val="000000" w:themeColor="text1"/>
          <w:sz w:val="18"/>
          <w:szCs w:val="18"/>
        </w:rPr>
        <w:t>業經</w:t>
      </w:r>
      <w:r w:rsidR="008279B8" w:rsidRPr="008E2ED8">
        <w:rPr>
          <w:rFonts w:ascii="Arial" w:eastAsia="標楷體" w:hAnsi="Arial" w:cs="Arial"/>
          <w:color w:val="000000" w:themeColor="text1"/>
          <w:sz w:val="18"/>
          <w:szCs w:val="18"/>
        </w:rPr>
        <w:t>臺</w:t>
      </w:r>
      <w:r w:rsidR="009B60F1" w:rsidRPr="008E2ED8">
        <w:rPr>
          <w:rFonts w:ascii="Arial" w:eastAsia="標楷體" w:hAnsi="Arial" w:cs="Arial"/>
          <w:color w:val="000000" w:themeColor="text1"/>
          <w:sz w:val="18"/>
          <w:szCs w:val="18"/>
        </w:rPr>
        <w:t>灣證券交易所</w:t>
      </w:r>
      <w:r w:rsidR="00BC1100" w:rsidRPr="008E2ED8">
        <w:rPr>
          <w:rFonts w:ascii="Arial" w:eastAsia="標楷體" w:hAnsi="Arial" w:cs="Arial"/>
          <w:color w:val="000000" w:themeColor="text1"/>
          <w:sz w:val="18"/>
          <w:szCs w:val="18"/>
        </w:rPr>
        <w:t>股份有限公司</w:t>
      </w:r>
      <w:r w:rsidR="009B60F1" w:rsidRPr="008E2ED8">
        <w:rPr>
          <w:rFonts w:ascii="Arial" w:eastAsia="標楷體" w:hAnsi="Arial" w:cs="Arial"/>
          <w:color w:val="000000" w:themeColor="text1"/>
          <w:sz w:val="18"/>
          <w:szCs w:val="18"/>
        </w:rPr>
        <w:t>審查同意其發行，且上市契約業經</w:t>
      </w:r>
      <w:r w:rsidR="00BC1100" w:rsidRPr="008E2ED8">
        <w:rPr>
          <w:rFonts w:ascii="Arial" w:eastAsia="標楷體" w:hAnsi="Arial" w:cs="Arial"/>
          <w:color w:val="000000" w:themeColor="text1"/>
          <w:sz w:val="18"/>
          <w:szCs w:val="18"/>
        </w:rPr>
        <w:t>臺灣證券交易所股份有限公司</w:t>
      </w:r>
      <w:r>
        <w:rPr>
          <w:rFonts w:ascii="Arial" w:eastAsia="標楷體" w:hAnsi="Arial" w:cs="Arial" w:hint="eastAsia"/>
          <w:color w:val="000000" w:themeColor="text1"/>
          <w:sz w:val="18"/>
          <w:szCs w:val="18"/>
        </w:rPr>
        <w:t>114年11月17日</w:t>
      </w:r>
      <w:r w:rsidR="00BC1100" w:rsidRPr="008E2ED8">
        <w:rPr>
          <w:rFonts w:ascii="Arial" w:eastAsia="標楷體" w:hAnsi="Arial" w:cs="Arial"/>
          <w:color w:val="000000" w:themeColor="text1"/>
          <w:sz w:val="18"/>
          <w:szCs w:val="18"/>
        </w:rPr>
        <w:t>臺證</w:t>
      </w:r>
      <w:r w:rsidR="008C4770" w:rsidRPr="008E2ED8">
        <w:rPr>
          <w:rFonts w:ascii="Arial" w:eastAsia="標楷體" w:hAnsi="Arial" w:cs="Arial"/>
          <w:color w:val="000000" w:themeColor="text1"/>
          <w:sz w:val="18"/>
          <w:szCs w:val="18"/>
        </w:rPr>
        <w:t>上二</w:t>
      </w:r>
      <w:r w:rsidR="00BC1100" w:rsidRPr="008E2ED8">
        <w:rPr>
          <w:rFonts w:ascii="Arial" w:eastAsia="標楷體" w:hAnsi="Arial" w:cs="Arial"/>
          <w:color w:val="000000" w:themeColor="text1"/>
          <w:sz w:val="18"/>
          <w:szCs w:val="18"/>
        </w:rPr>
        <w:t>字</w:t>
      </w:r>
      <w:r w:rsidR="003200EF" w:rsidRPr="008E2ED8">
        <w:rPr>
          <w:rFonts w:ascii="Arial" w:eastAsia="標楷體" w:hAnsi="Arial" w:cs="Arial"/>
          <w:b/>
          <w:color w:val="000000" w:themeColor="text1"/>
          <w:sz w:val="18"/>
          <w:szCs w:val="18"/>
        </w:rPr>
        <w:t>第</w:t>
      </w:r>
      <w:r>
        <w:rPr>
          <w:rFonts w:ascii="Arial" w:eastAsia="標楷體" w:hAnsi="Arial" w:cs="Arial" w:hint="eastAsia"/>
          <w:b/>
          <w:color w:val="000000" w:themeColor="text1"/>
          <w:sz w:val="18"/>
          <w:szCs w:val="18"/>
        </w:rPr>
        <w:t>1140021944</w:t>
      </w:r>
      <w:r w:rsidR="007E391F" w:rsidRPr="008E2ED8">
        <w:rPr>
          <w:rFonts w:ascii="Arial" w:eastAsia="標楷體" w:hAnsi="Arial" w:cs="Arial"/>
          <w:b/>
          <w:color w:val="000000" w:themeColor="text1"/>
          <w:sz w:val="18"/>
          <w:szCs w:val="18"/>
        </w:rPr>
        <w:t>號</w:t>
      </w:r>
      <w:r w:rsidR="009B60F1" w:rsidRPr="008E2ED8">
        <w:rPr>
          <w:rFonts w:ascii="Arial" w:eastAsia="標楷體" w:hAnsi="Arial" w:cs="Arial"/>
          <w:color w:val="000000" w:themeColor="text1"/>
          <w:sz w:val="18"/>
          <w:szCs w:val="18"/>
        </w:rPr>
        <w:t>函核准備查在案。</w:t>
      </w:r>
    </w:p>
    <w:p w14:paraId="69E2BF0A" w14:textId="77777777" w:rsidR="009B60F1" w:rsidRPr="008E2ED8" w:rsidRDefault="009B60F1" w:rsidP="008E2ED8">
      <w:pPr>
        <w:snapToGrid w:val="0"/>
        <w:spacing w:line="200" w:lineRule="atLeast"/>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茲將上市之相關事項公告於後</w:t>
      </w:r>
    </w:p>
    <w:p w14:paraId="3AC7D533" w14:textId="77777777" w:rsidR="004E7743" w:rsidRPr="008E2ED8" w:rsidRDefault="004E7743" w:rsidP="008E2ED8">
      <w:pPr>
        <w:numPr>
          <w:ilvl w:val="0"/>
          <w:numId w:val="3"/>
        </w:numPr>
        <w:tabs>
          <w:tab w:val="clear" w:pos="482"/>
          <w:tab w:val="num" w:pos="360"/>
        </w:tabs>
        <w:snapToGrid w:val="0"/>
        <w:spacing w:line="200" w:lineRule="atLeast"/>
        <w:jc w:val="both"/>
        <w:rPr>
          <w:rFonts w:ascii="Arial" w:eastAsia="標楷體" w:hAnsi="Arial" w:cs="Arial"/>
          <w:color w:val="000000" w:themeColor="text1"/>
          <w:sz w:val="18"/>
          <w:szCs w:val="18"/>
        </w:rPr>
      </w:pPr>
      <w:r w:rsidRPr="008E2ED8">
        <w:rPr>
          <w:rFonts w:ascii="Arial" w:eastAsia="標楷體" w:hAnsi="Arial" w:cs="Arial"/>
          <w:b/>
          <w:color w:val="000000" w:themeColor="text1"/>
          <w:sz w:val="18"/>
          <w:szCs w:val="18"/>
        </w:rPr>
        <w:t>發</w:t>
      </w:r>
      <w:r w:rsidRPr="008E2ED8">
        <w:rPr>
          <w:rFonts w:ascii="Arial" w:eastAsia="標楷體" w:hAnsi="Arial" w:cs="Arial"/>
          <w:b/>
          <w:color w:val="000000" w:themeColor="text1"/>
          <w:sz w:val="18"/>
          <w:szCs w:val="18"/>
        </w:rPr>
        <w:t xml:space="preserve"> </w:t>
      </w:r>
      <w:r w:rsidRPr="008E2ED8">
        <w:rPr>
          <w:rFonts w:ascii="Arial" w:eastAsia="標楷體" w:hAnsi="Arial" w:cs="Arial"/>
          <w:b/>
          <w:color w:val="000000" w:themeColor="text1"/>
          <w:sz w:val="18"/>
          <w:szCs w:val="18"/>
        </w:rPr>
        <w:t>行</w:t>
      </w:r>
      <w:r w:rsidRPr="008E2ED8">
        <w:rPr>
          <w:rFonts w:ascii="Arial" w:eastAsia="標楷體" w:hAnsi="Arial" w:cs="Arial"/>
          <w:b/>
          <w:color w:val="000000" w:themeColor="text1"/>
          <w:sz w:val="18"/>
          <w:szCs w:val="18"/>
        </w:rPr>
        <w:t xml:space="preserve"> </w:t>
      </w:r>
      <w:r w:rsidRPr="008E2ED8">
        <w:rPr>
          <w:rFonts w:ascii="Arial" w:eastAsia="標楷體" w:hAnsi="Arial" w:cs="Arial"/>
          <w:b/>
          <w:color w:val="000000" w:themeColor="text1"/>
          <w:sz w:val="18"/>
          <w:szCs w:val="18"/>
        </w:rPr>
        <w:t>日</w:t>
      </w:r>
      <w:r w:rsidRPr="008E2ED8">
        <w:rPr>
          <w:rFonts w:ascii="Arial" w:eastAsia="標楷體" w:hAnsi="Arial" w:cs="Arial"/>
          <w:b/>
          <w:color w:val="000000" w:themeColor="text1"/>
          <w:sz w:val="18"/>
          <w:szCs w:val="18"/>
        </w:rPr>
        <w:t xml:space="preserve"> </w:t>
      </w:r>
      <w:r w:rsidRPr="008E2ED8">
        <w:rPr>
          <w:rFonts w:ascii="Arial" w:eastAsia="標楷體" w:hAnsi="Arial" w:cs="Arial"/>
          <w:b/>
          <w:color w:val="000000" w:themeColor="text1"/>
          <w:sz w:val="18"/>
          <w:szCs w:val="18"/>
        </w:rPr>
        <w:t>期</w:t>
      </w:r>
      <w:r w:rsidRPr="008E2ED8">
        <w:rPr>
          <w:rFonts w:ascii="Arial" w:eastAsia="標楷體" w:hAnsi="Arial" w:cs="Arial"/>
          <w:b/>
          <w:color w:val="000000" w:themeColor="text1"/>
          <w:sz w:val="18"/>
          <w:szCs w:val="18"/>
        </w:rPr>
        <w:t xml:space="preserve"> </w:t>
      </w:r>
      <w:r w:rsidRPr="008E2ED8">
        <w:rPr>
          <w:rFonts w:ascii="Arial" w:eastAsia="標楷體" w:hAnsi="Arial" w:cs="Arial"/>
          <w:b/>
          <w:color w:val="000000" w:themeColor="text1"/>
          <w:sz w:val="18"/>
          <w:szCs w:val="18"/>
        </w:rPr>
        <w:t>：</w:t>
      </w:r>
      <w:r w:rsidR="0080085B" w:rsidRPr="008E2ED8">
        <w:rPr>
          <w:rFonts w:ascii="Arial" w:eastAsia="標楷體" w:hAnsi="Arial" w:cs="Arial"/>
          <w:b/>
          <w:bCs/>
          <w:color w:val="000000" w:themeColor="text1"/>
          <w:sz w:val="18"/>
          <w:szCs w:val="18"/>
        </w:rPr>
        <w:t>中華民國</w:t>
      </w:r>
      <w:r>
        <w:rPr>
          <w:rFonts w:ascii="Arial" w:eastAsia="標楷體" w:hAnsi="Arial" w:cs="Arial" w:hint="eastAsia"/>
          <w:b/>
          <w:bCs/>
          <w:color w:val="000000" w:themeColor="text1"/>
          <w:sz w:val="18"/>
          <w:szCs w:val="18"/>
        </w:rPr>
        <w:t>114年11月18日</w:t>
      </w:r>
    </w:p>
    <w:p w14:paraId="1F4AD4F4" w14:textId="77777777" w:rsidR="004E7743" w:rsidRPr="008E2ED8" w:rsidRDefault="004E7743" w:rsidP="008E2ED8">
      <w:pPr>
        <w:numPr>
          <w:ilvl w:val="0"/>
          <w:numId w:val="3"/>
        </w:numPr>
        <w:tabs>
          <w:tab w:val="clear" w:pos="482"/>
          <w:tab w:val="num" w:pos="360"/>
        </w:tabs>
        <w:snapToGrid w:val="0"/>
        <w:spacing w:line="200" w:lineRule="atLeast"/>
        <w:ind w:left="360" w:hanging="360"/>
        <w:jc w:val="both"/>
        <w:rPr>
          <w:rFonts w:ascii="Arial" w:eastAsia="標楷體" w:hAnsi="Arial" w:cs="Arial"/>
          <w:color w:val="000000" w:themeColor="text1"/>
          <w:sz w:val="18"/>
          <w:szCs w:val="18"/>
        </w:rPr>
      </w:pPr>
      <w:r w:rsidRPr="008E2ED8">
        <w:rPr>
          <w:rFonts w:ascii="Arial" w:eastAsia="標楷體" w:hAnsi="Arial" w:cs="Arial"/>
          <w:b/>
          <w:color w:val="000000" w:themeColor="text1"/>
          <w:sz w:val="18"/>
          <w:szCs w:val="18"/>
        </w:rPr>
        <w:t>存</w:t>
      </w:r>
      <w:r w:rsidRPr="008E2ED8">
        <w:rPr>
          <w:rFonts w:ascii="Arial" w:eastAsia="標楷體" w:hAnsi="Arial" w:cs="Arial"/>
          <w:b/>
          <w:color w:val="000000" w:themeColor="text1"/>
          <w:sz w:val="18"/>
          <w:szCs w:val="18"/>
        </w:rPr>
        <w:t xml:space="preserve"> </w:t>
      </w:r>
      <w:r w:rsidRPr="008E2ED8">
        <w:rPr>
          <w:rFonts w:ascii="Arial" w:eastAsia="標楷體" w:hAnsi="Arial" w:cs="Arial"/>
          <w:b/>
          <w:color w:val="000000" w:themeColor="text1"/>
          <w:sz w:val="18"/>
          <w:szCs w:val="18"/>
        </w:rPr>
        <w:t>續</w:t>
      </w:r>
      <w:r w:rsidRPr="008E2ED8">
        <w:rPr>
          <w:rFonts w:ascii="Arial" w:eastAsia="標楷體" w:hAnsi="Arial" w:cs="Arial"/>
          <w:b/>
          <w:color w:val="000000" w:themeColor="text1"/>
          <w:sz w:val="18"/>
          <w:szCs w:val="18"/>
        </w:rPr>
        <w:t xml:space="preserve"> </w:t>
      </w:r>
      <w:r w:rsidRPr="008E2ED8">
        <w:rPr>
          <w:rFonts w:ascii="Arial" w:eastAsia="標楷體" w:hAnsi="Arial" w:cs="Arial"/>
          <w:b/>
          <w:color w:val="000000" w:themeColor="text1"/>
          <w:sz w:val="18"/>
          <w:szCs w:val="18"/>
        </w:rPr>
        <w:t>期</w:t>
      </w:r>
      <w:r w:rsidRPr="008E2ED8">
        <w:rPr>
          <w:rFonts w:ascii="Arial" w:eastAsia="標楷體" w:hAnsi="Arial" w:cs="Arial"/>
          <w:b/>
          <w:color w:val="000000" w:themeColor="text1"/>
          <w:sz w:val="18"/>
          <w:szCs w:val="18"/>
        </w:rPr>
        <w:t xml:space="preserve"> </w:t>
      </w:r>
      <w:r w:rsidRPr="008E2ED8">
        <w:rPr>
          <w:rFonts w:ascii="Arial" w:eastAsia="標楷體" w:hAnsi="Arial" w:cs="Arial"/>
          <w:b/>
          <w:color w:val="000000" w:themeColor="text1"/>
          <w:sz w:val="18"/>
          <w:szCs w:val="18"/>
        </w:rPr>
        <w:t>間</w:t>
      </w:r>
      <w:r w:rsidRPr="008E2ED8">
        <w:rPr>
          <w:rFonts w:ascii="Arial" w:eastAsia="標楷體" w:hAnsi="Arial" w:cs="Arial"/>
          <w:b/>
          <w:color w:val="000000" w:themeColor="text1"/>
          <w:sz w:val="18"/>
          <w:szCs w:val="18"/>
        </w:rPr>
        <w:t xml:space="preserve"> </w:t>
      </w:r>
      <w:r w:rsidRPr="008E2ED8">
        <w:rPr>
          <w:rFonts w:ascii="Arial" w:eastAsia="標楷體" w:hAnsi="Arial" w:cs="Arial"/>
          <w:b/>
          <w:color w:val="000000" w:themeColor="text1"/>
          <w:sz w:val="18"/>
          <w:szCs w:val="18"/>
        </w:rPr>
        <w:t>：</w:t>
      </w:r>
      <w:r w:rsidRPr="008E2ED8">
        <w:rPr>
          <w:rFonts w:ascii="Arial" w:eastAsia="標楷體" w:hAnsi="Arial" w:cs="Arial"/>
          <w:color w:val="000000" w:themeColor="text1"/>
          <w:sz w:val="18"/>
          <w:szCs w:val="18"/>
        </w:rPr>
        <w:t>自上市買賣日</w:t>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含</w:t>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起算存續期間</w:t>
      </w:r>
      <w:r>
        <w:rPr>
          <w:rFonts w:ascii="Arial" w:eastAsia="標楷體" w:hAnsi="Arial" w:cs="Arial" w:hint="eastAsia"/>
          <w:color w:val="000000" w:themeColor="text1"/>
          <w:sz w:val="18"/>
          <w:szCs w:val="18"/>
        </w:rPr>
        <w:t>七</w:t>
      </w:r>
      <w:r w:rsidR="0080085B" w:rsidRPr="008E2ED8">
        <w:rPr>
          <w:rFonts w:ascii="Arial" w:eastAsia="標楷體" w:hAnsi="Arial" w:cs="Arial"/>
          <w:b/>
          <w:bCs/>
          <w:color w:val="000000" w:themeColor="text1"/>
          <w:sz w:val="18"/>
          <w:szCs w:val="18"/>
        </w:rPr>
        <w:t>個月。</w:t>
      </w:r>
    </w:p>
    <w:p w14:paraId="14D85CCD" w14:textId="77777777" w:rsidR="004E7743" w:rsidRPr="008E2ED8" w:rsidRDefault="004E7743" w:rsidP="008E2ED8">
      <w:pPr>
        <w:numPr>
          <w:ilvl w:val="0"/>
          <w:numId w:val="3"/>
        </w:numPr>
        <w:tabs>
          <w:tab w:val="clear" w:pos="482"/>
          <w:tab w:val="left" w:pos="360"/>
        </w:tabs>
        <w:snapToGrid w:val="0"/>
        <w:spacing w:line="200" w:lineRule="atLeast"/>
        <w:jc w:val="both"/>
        <w:rPr>
          <w:rFonts w:ascii="Arial" w:eastAsia="標楷體" w:hAnsi="Arial" w:cs="Arial"/>
          <w:color w:val="000000" w:themeColor="text1"/>
          <w:sz w:val="18"/>
          <w:szCs w:val="18"/>
        </w:rPr>
      </w:pPr>
      <w:r w:rsidRPr="008E2ED8">
        <w:rPr>
          <w:rFonts w:ascii="Arial" w:eastAsia="標楷體" w:hAnsi="Arial" w:cs="Arial"/>
          <w:b/>
          <w:snapToGrid w:val="0"/>
          <w:color w:val="000000" w:themeColor="text1"/>
          <w:sz w:val="18"/>
          <w:szCs w:val="18"/>
        </w:rPr>
        <w:t>標</w:t>
      </w:r>
      <w:r w:rsidRPr="008E2ED8">
        <w:rPr>
          <w:rFonts w:ascii="Arial" w:eastAsia="標楷體" w:hAnsi="Arial" w:cs="Arial"/>
          <w:b/>
          <w:snapToGrid w:val="0"/>
          <w:color w:val="000000" w:themeColor="text1"/>
          <w:sz w:val="18"/>
          <w:szCs w:val="18"/>
        </w:rPr>
        <w:t xml:space="preserve"> </w:t>
      </w:r>
      <w:r w:rsidRPr="008E2ED8">
        <w:rPr>
          <w:rFonts w:ascii="Arial" w:eastAsia="標楷體" w:hAnsi="Arial" w:cs="Arial"/>
          <w:b/>
          <w:snapToGrid w:val="0"/>
          <w:color w:val="000000" w:themeColor="text1"/>
          <w:sz w:val="18"/>
          <w:szCs w:val="18"/>
        </w:rPr>
        <w:t>的</w:t>
      </w:r>
      <w:r w:rsidRPr="008E2ED8">
        <w:rPr>
          <w:rFonts w:ascii="Arial" w:eastAsia="標楷體" w:hAnsi="Arial" w:cs="Arial"/>
          <w:b/>
          <w:snapToGrid w:val="0"/>
          <w:color w:val="000000" w:themeColor="text1"/>
          <w:sz w:val="18"/>
          <w:szCs w:val="18"/>
        </w:rPr>
        <w:t xml:space="preserve"> </w:t>
      </w:r>
      <w:r w:rsidRPr="008E2ED8">
        <w:rPr>
          <w:rFonts w:ascii="Arial" w:eastAsia="標楷體" w:hAnsi="Arial" w:cs="Arial"/>
          <w:b/>
          <w:snapToGrid w:val="0"/>
          <w:color w:val="000000" w:themeColor="text1"/>
          <w:sz w:val="18"/>
          <w:szCs w:val="18"/>
        </w:rPr>
        <w:t>證</w:t>
      </w:r>
      <w:r w:rsidRPr="008E2ED8">
        <w:rPr>
          <w:rFonts w:ascii="Arial" w:eastAsia="標楷體" w:hAnsi="Arial" w:cs="Arial"/>
          <w:b/>
          <w:snapToGrid w:val="0"/>
          <w:color w:val="000000" w:themeColor="text1"/>
          <w:sz w:val="18"/>
          <w:szCs w:val="18"/>
        </w:rPr>
        <w:t xml:space="preserve"> </w:t>
      </w:r>
      <w:r w:rsidRPr="008E2ED8">
        <w:rPr>
          <w:rFonts w:ascii="Arial" w:eastAsia="標楷體" w:hAnsi="Arial" w:cs="Arial"/>
          <w:b/>
          <w:snapToGrid w:val="0"/>
          <w:color w:val="000000" w:themeColor="text1"/>
          <w:sz w:val="18"/>
          <w:szCs w:val="18"/>
        </w:rPr>
        <w:t>券</w:t>
      </w:r>
      <w:r w:rsidRPr="008E2ED8">
        <w:rPr>
          <w:rFonts w:ascii="Arial" w:eastAsia="標楷體" w:hAnsi="Arial" w:cs="Arial"/>
          <w:b/>
          <w:snapToGrid w:val="0"/>
          <w:color w:val="000000" w:themeColor="text1"/>
          <w:sz w:val="18"/>
          <w:szCs w:val="18"/>
        </w:rPr>
        <w:t xml:space="preserve"> </w:t>
      </w:r>
      <w:r w:rsidRPr="008E2ED8">
        <w:rPr>
          <w:rFonts w:ascii="Arial" w:eastAsia="標楷體" w:hAnsi="Arial" w:cs="Arial"/>
          <w:b/>
          <w:snapToGrid w:val="0"/>
          <w:color w:val="000000" w:themeColor="text1"/>
          <w:sz w:val="18"/>
          <w:szCs w:val="18"/>
        </w:rPr>
        <w:t>：</w:t>
      </w:r>
      <w:r>
        <w:rPr>
          <w:rFonts w:ascii="Arial" w:eastAsia="標楷體" w:hAnsi="Arial" w:cs="Arial" w:hint="eastAsia"/>
          <w:b/>
          <w:snapToGrid w:val="0"/>
          <w:color w:val="000000" w:themeColor="text1"/>
          <w:sz w:val="18"/>
          <w:szCs w:val="18"/>
        </w:rPr>
        <w:t>亞翔工程股份有限公司普通股</w:t>
      </w:r>
    </w:p>
    <w:p w14:paraId="4B6CD4E0" w14:textId="77777777" w:rsidR="004E7743" w:rsidRPr="008E2ED8" w:rsidRDefault="004E7743" w:rsidP="008E2ED8">
      <w:pPr>
        <w:numPr>
          <w:ilvl w:val="0"/>
          <w:numId w:val="3"/>
        </w:numPr>
        <w:tabs>
          <w:tab w:val="clear" w:pos="482"/>
          <w:tab w:val="left" w:pos="360"/>
        </w:tabs>
        <w:snapToGrid w:val="0"/>
        <w:spacing w:line="200" w:lineRule="atLeast"/>
        <w:jc w:val="both"/>
        <w:rPr>
          <w:rFonts w:ascii="Arial" w:eastAsia="標楷體" w:hAnsi="Arial" w:cs="Arial"/>
          <w:color w:val="000000" w:themeColor="text1"/>
          <w:sz w:val="18"/>
          <w:szCs w:val="18"/>
        </w:rPr>
      </w:pPr>
      <w:r w:rsidRPr="008E2ED8">
        <w:rPr>
          <w:rFonts w:ascii="Arial" w:eastAsia="標楷體" w:hAnsi="Arial" w:cs="Arial"/>
          <w:b/>
          <w:snapToGrid w:val="0"/>
          <w:color w:val="000000" w:themeColor="text1"/>
          <w:sz w:val="18"/>
          <w:szCs w:val="18"/>
        </w:rPr>
        <w:t>權</w:t>
      </w:r>
      <w:r w:rsidRPr="008E2ED8">
        <w:rPr>
          <w:rFonts w:ascii="Arial" w:eastAsia="標楷體" w:hAnsi="Arial" w:cs="Arial"/>
          <w:b/>
          <w:snapToGrid w:val="0"/>
          <w:color w:val="000000" w:themeColor="text1"/>
          <w:sz w:val="18"/>
          <w:szCs w:val="18"/>
        </w:rPr>
        <w:t xml:space="preserve"> </w:t>
      </w:r>
      <w:r w:rsidRPr="008E2ED8">
        <w:rPr>
          <w:rFonts w:ascii="Arial" w:eastAsia="標楷體" w:hAnsi="Arial" w:cs="Arial"/>
          <w:b/>
          <w:snapToGrid w:val="0"/>
          <w:color w:val="000000" w:themeColor="text1"/>
          <w:sz w:val="18"/>
          <w:szCs w:val="18"/>
        </w:rPr>
        <w:t>證</w:t>
      </w:r>
      <w:r w:rsidRPr="008E2ED8">
        <w:rPr>
          <w:rFonts w:ascii="Arial" w:eastAsia="標楷體" w:hAnsi="Arial" w:cs="Arial"/>
          <w:b/>
          <w:snapToGrid w:val="0"/>
          <w:color w:val="000000" w:themeColor="text1"/>
          <w:sz w:val="18"/>
          <w:szCs w:val="18"/>
        </w:rPr>
        <w:t xml:space="preserve"> </w:t>
      </w:r>
      <w:r w:rsidRPr="008E2ED8">
        <w:rPr>
          <w:rFonts w:ascii="Arial" w:eastAsia="標楷體" w:hAnsi="Arial" w:cs="Arial"/>
          <w:b/>
          <w:snapToGrid w:val="0"/>
          <w:color w:val="000000" w:themeColor="text1"/>
          <w:sz w:val="18"/>
          <w:szCs w:val="18"/>
        </w:rPr>
        <w:t>種</w:t>
      </w:r>
      <w:r w:rsidRPr="008E2ED8">
        <w:rPr>
          <w:rFonts w:ascii="Arial" w:eastAsia="標楷體" w:hAnsi="Arial" w:cs="Arial"/>
          <w:b/>
          <w:snapToGrid w:val="0"/>
          <w:color w:val="000000" w:themeColor="text1"/>
          <w:sz w:val="18"/>
          <w:szCs w:val="18"/>
        </w:rPr>
        <w:t xml:space="preserve"> </w:t>
      </w:r>
      <w:r w:rsidRPr="008E2ED8">
        <w:rPr>
          <w:rFonts w:ascii="Arial" w:eastAsia="標楷體" w:hAnsi="Arial" w:cs="Arial"/>
          <w:b/>
          <w:snapToGrid w:val="0"/>
          <w:color w:val="000000" w:themeColor="text1"/>
          <w:sz w:val="18"/>
          <w:szCs w:val="18"/>
        </w:rPr>
        <w:t>類</w:t>
      </w:r>
      <w:r w:rsidRPr="008E2ED8">
        <w:rPr>
          <w:rFonts w:ascii="Arial" w:eastAsia="標楷體" w:hAnsi="Arial" w:cs="Arial"/>
          <w:b/>
          <w:snapToGrid w:val="0"/>
          <w:color w:val="000000" w:themeColor="text1"/>
          <w:sz w:val="18"/>
          <w:szCs w:val="18"/>
        </w:rPr>
        <w:t xml:space="preserve"> </w:t>
      </w:r>
      <w:r w:rsidRPr="008E2ED8">
        <w:rPr>
          <w:rFonts w:ascii="Arial" w:eastAsia="標楷體" w:hAnsi="Arial" w:cs="Arial"/>
          <w:b/>
          <w:color w:val="000000" w:themeColor="text1"/>
          <w:sz w:val="18"/>
          <w:szCs w:val="18"/>
        </w:rPr>
        <w:t>：</w:t>
      </w:r>
      <w:r>
        <w:rPr>
          <w:rFonts w:ascii="Arial" w:eastAsia="標楷體" w:hAnsi="標楷體" w:cs="Arial" w:hint="eastAsia"/>
          <w:b/>
          <w:bCs/>
          <w:color w:val="000000" w:themeColor="text1"/>
          <w:sz w:val="18"/>
          <w:szCs w:val="18"/>
        </w:rPr>
        <w:t>美式價外</w:t>
      </w:r>
      <w:r w:rsidR="0080085B" w:rsidRPr="008E2ED8">
        <w:rPr>
          <w:rFonts w:ascii="Arial" w:eastAsia="標楷體" w:hAnsi="Arial" w:cs="Arial"/>
          <w:b/>
          <w:bCs/>
          <w:color w:val="000000" w:themeColor="text1"/>
          <w:sz w:val="18"/>
          <w:szCs w:val="18"/>
        </w:rPr>
        <w:t>認購權證</w:t>
      </w:r>
      <w:r w:rsidRPr="008E2ED8">
        <w:rPr>
          <w:rFonts w:ascii="Arial" w:eastAsia="標楷體" w:hAnsi="Arial" w:cs="Arial"/>
          <w:b/>
          <w:bCs/>
          <w:color w:val="000000" w:themeColor="text1"/>
          <w:sz w:val="18"/>
          <w:szCs w:val="18"/>
        </w:rPr>
        <w:t>。</w:t>
      </w:r>
    </w:p>
    <w:p w14:paraId="292F7C41" w14:textId="77777777" w:rsidR="004E7743" w:rsidRPr="008E2ED8" w:rsidRDefault="004E7743" w:rsidP="008E2ED8">
      <w:pPr>
        <w:numPr>
          <w:ilvl w:val="0"/>
          <w:numId w:val="3"/>
        </w:numPr>
        <w:tabs>
          <w:tab w:val="clear" w:pos="482"/>
          <w:tab w:val="left" w:pos="360"/>
        </w:tabs>
        <w:snapToGrid w:val="0"/>
        <w:spacing w:line="200" w:lineRule="atLeast"/>
        <w:jc w:val="both"/>
        <w:rPr>
          <w:rFonts w:ascii="Arial" w:eastAsia="標楷體" w:hAnsi="Arial" w:cs="Arial"/>
          <w:color w:val="000000" w:themeColor="text1"/>
          <w:sz w:val="18"/>
          <w:szCs w:val="18"/>
        </w:rPr>
      </w:pPr>
      <w:r w:rsidRPr="008E2ED8">
        <w:rPr>
          <w:rFonts w:ascii="Arial" w:eastAsia="標楷體" w:hAnsi="Arial" w:cs="Arial"/>
          <w:b/>
          <w:snapToGrid w:val="0"/>
          <w:color w:val="000000" w:themeColor="text1"/>
          <w:sz w:val="18"/>
          <w:szCs w:val="18"/>
        </w:rPr>
        <w:t>發行單位總數</w:t>
      </w:r>
      <w:r w:rsidRPr="008E2ED8">
        <w:rPr>
          <w:rFonts w:ascii="Arial" w:eastAsia="標楷體" w:hAnsi="Arial" w:cs="Arial"/>
          <w:b/>
          <w:color w:val="000000" w:themeColor="text1"/>
          <w:sz w:val="18"/>
          <w:szCs w:val="18"/>
        </w:rPr>
        <w:t>：</w:t>
      </w:r>
      <w:r w:rsidRPr="008E2ED8">
        <w:rPr>
          <w:rFonts w:ascii="Arial" w:eastAsia="標楷體" w:hAnsi="Arial" w:cs="Arial"/>
          <w:color w:val="000000" w:themeColor="text1"/>
          <w:sz w:val="18"/>
          <w:szCs w:val="18"/>
        </w:rPr>
        <w:t>本</w:t>
      </w:r>
      <w:r w:rsidR="0080085B" w:rsidRPr="008E2ED8">
        <w:rPr>
          <w:rFonts w:ascii="Arial" w:eastAsia="標楷體" w:hAnsi="Arial" w:cs="Arial"/>
          <w:bCs/>
          <w:color w:val="000000" w:themeColor="text1"/>
          <w:sz w:val="18"/>
          <w:szCs w:val="18"/>
        </w:rPr>
        <w:t>認購權證</w:t>
      </w:r>
      <w:r w:rsidRPr="008E2ED8">
        <w:rPr>
          <w:rFonts w:ascii="Arial" w:eastAsia="標楷體" w:hAnsi="Arial" w:cs="Arial"/>
          <w:color w:val="000000" w:themeColor="text1"/>
          <w:sz w:val="18"/>
          <w:szCs w:val="18"/>
        </w:rPr>
        <w:t>共發行</w:t>
      </w:r>
      <w:r>
        <w:rPr>
          <w:rFonts w:ascii="Arial" w:eastAsia="標楷體" w:hAnsi="Arial" w:cs="Arial" w:hint="eastAsia"/>
          <w:color w:val="000000" w:themeColor="text1"/>
          <w:sz w:val="18"/>
          <w:szCs w:val="18"/>
        </w:rPr>
        <w:t>5,000,000</w:t>
      </w:r>
      <w:r w:rsidRPr="008E2ED8">
        <w:rPr>
          <w:rFonts w:ascii="Arial" w:eastAsia="標楷體" w:hAnsi="Arial" w:cs="Arial"/>
          <w:color w:val="000000" w:themeColor="text1"/>
          <w:sz w:val="18"/>
          <w:szCs w:val="18"/>
        </w:rPr>
        <w:t>單位</w:t>
      </w:r>
      <w:r w:rsidRPr="008E2ED8">
        <w:rPr>
          <w:rFonts w:ascii="Arial" w:eastAsia="標楷體" w:hAnsi="Arial" w:cs="Arial"/>
          <w:color w:val="000000" w:themeColor="text1"/>
          <w:sz w:val="18"/>
          <w:szCs w:val="18"/>
        </w:rPr>
        <w:t xml:space="preserve"> </w:t>
      </w:r>
    </w:p>
    <w:p w14:paraId="1DBE8C27" w14:textId="77777777" w:rsidR="004E7743" w:rsidRPr="008E2ED8" w:rsidRDefault="004E7743" w:rsidP="008E2ED8">
      <w:pPr>
        <w:numPr>
          <w:ilvl w:val="0"/>
          <w:numId w:val="3"/>
        </w:numPr>
        <w:tabs>
          <w:tab w:val="clear" w:pos="482"/>
          <w:tab w:val="num" w:pos="360"/>
        </w:tabs>
        <w:snapToGrid w:val="0"/>
        <w:spacing w:line="200" w:lineRule="atLeast"/>
        <w:jc w:val="both"/>
        <w:rPr>
          <w:rFonts w:ascii="Arial" w:eastAsia="標楷體" w:hAnsi="Arial" w:cs="Arial"/>
          <w:color w:val="000000" w:themeColor="text1"/>
          <w:sz w:val="18"/>
          <w:szCs w:val="18"/>
        </w:rPr>
      </w:pPr>
      <w:r w:rsidRPr="008E2ED8">
        <w:rPr>
          <w:rFonts w:ascii="Arial" w:eastAsia="標楷體" w:hAnsi="Arial" w:cs="Arial"/>
          <w:b/>
          <w:color w:val="000000" w:themeColor="text1"/>
          <w:sz w:val="18"/>
          <w:szCs w:val="18"/>
        </w:rPr>
        <w:t>發</w:t>
      </w:r>
      <w:r w:rsidRPr="008E2ED8">
        <w:rPr>
          <w:rFonts w:ascii="Arial" w:eastAsia="標楷體" w:hAnsi="Arial" w:cs="Arial"/>
          <w:b/>
          <w:color w:val="000000" w:themeColor="text1"/>
          <w:sz w:val="18"/>
          <w:szCs w:val="18"/>
        </w:rPr>
        <w:t xml:space="preserve"> </w:t>
      </w:r>
      <w:r w:rsidRPr="008E2ED8">
        <w:rPr>
          <w:rFonts w:ascii="Arial" w:eastAsia="標楷體" w:hAnsi="Arial" w:cs="Arial"/>
          <w:b/>
          <w:color w:val="000000" w:themeColor="text1"/>
          <w:sz w:val="18"/>
          <w:szCs w:val="18"/>
        </w:rPr>
        <w:t>行</w:t>
      </w:r>
      <w:r w:rsidRPr="008E2ED8">
        <w:rPr>
          <w:rFonts w:ascii="Arial" w:eastAsia="標楷體" w:hAnsi="Arial" w:cs="Arial"/>
          <w:b/>
          <w:color w:val="000000" w:themeColor="text1"/>
          <w:sz w:val="18"/>
          <w:szCs w:val="18"/>
        </w:rPr>
        <w:t xml:space="preserve"> </w:t>
      </w:r>
      <w:r w:rsidRPr="008E2ED8">
        <w:rPr>
          <w:rFonts w:ascii="Arial" w:eastAsia="標楷體" w:hAnsi="Arial" w:cs="Arial"/>
          <w:b/>
          <w:color w:val="000000" w:themeColor="text1"/>
          <w:sz w:val="18"/>
          <w:szCs w:val="18"/>
        </w:rPr>
        <w:t>金</w:t>
      </w:r>
      <w:r w:rsidRPr="008E2ED8">
        <w:rPr>
          <w:rFonts w:ascii="Arial" w:eastAsia="標楷體" w:hAnsi="Arial" w:cs="Arial"/>
          <w:b/>
          <w:color w:val="000000" w:themeColor="text1"/>
          <w:sz w:val="18"/>
          <w:szCs w:val="18"/>
        </w:rPr>
        <w:t xml:space="preserve"> </w:t>
      </w:r>
      <w:r w:rsidRPr="008E2ED8">
        <w:rPr>
          <w:rFonts w:ascii="Arial" w:eastAsia="標楷體" w:hAnsi="Arial" w:cs="Arial"/>
          <w:b/>
          <w:color w:val="000000" w:themeColor="text1"/>
          <w:sz w:val="18"/>
          <w:szCs w:val="18"/>
        </w:rPr>
        <w:t>額</w:t>
      </w:r>
      <w:r w:rsidRPr="008E2ED8">
        <w:rPr>
          <w:rFonts w:ascii="Arial" w:eastAsia="標楷體" w:hAnsi="Arial" w:cs="Arial"/>
          <w:b/>
          <w:color w:val="000000" w:themeColor="text1"/>
          <w:sz w:val="18"/>
          <w:szCs w:val="18"/>
        </w:rPr>
        <w:t xml:space="preserve"> </w:t>
      </w:r>
      <w:r w:rsidRPr="008E2ED8">
        <w:rPr>
          <w:rFonts w:ascii="Arial" w:eastAsia="標楷體" w:hAnsi="Arial" w:cs="Arial"/>
          <w:b/>
          <w:color w:val="000000" w:themeColor="text1"/>
          <w:sz w:val="18"/>
          <w:szCs w:val="18"/>
        </w:rPr>
        <w:t>：</w:t>
      </w:r>
      <w:r w:rsidRPr="008E2ED8">
        <w:rPr>
          <w:rFonts w:ascii="Arial" w:eastAsia="標楷體" w:hAnsi="Arial" w:cs="Arial"/>
          <w:color w:val="000000" w:themeColor="text1"/>
          <w:sz w:val="18"/>
          <w:szCs w:val="18"/>
        </w:rPr>
        <w:t>新台幣</w:t>
      </w:r>
      <w:r>
        <w:rPr>
          <w:rFonts w:ascii="Arial" w:eastAsia="標楷體" w:hAnsi="Arial" w:cs="Arial" w:hint="eastAsia"/>
          <w:color w:val="000000" w:themeColor="text1"/>
          <w:sz w:val="18"/>
          <w:szCs w:val="18"/>
        </w:rPr>
        <w:t>6,100,000</w:t>
      </w:r>
      <w:r w:rsidRPr="008E2ED8">
        <w:rPr>
          <w:rFonts w:ascii="Arial" w:eastAsia="標楷體" w:hAnsi="Arial" w:cs="Arial"/>
          <w:color w:val="000000" w:themeColor="text1"/>
          <w:sz w:val="18"/>
          <w:szCs w:val="18"/>
        </w:rPr>
        <w:t>元。</w:t>
      </w:r>
    </w:p>
    <w:p w14:paraId="32137309" w14:textId="77777777" w:rsidR="004E7743" w:rsidRPr="000E1947" w:rsidRDefault="004E7743" w:rsidP="000E1947">
      <w:pPr>
        <w:pStyle w:val="a9"/>
        <w:numPr>
          <w:ilvl w:val="0"/>
          <w:numId w:val="3"/>
        </w:numPr>
        <w:tabs>
          <w:tab w:val="left" w:pos="360"/>
        </w:tabs>
        <w:snapToGrid w:val="0"/>
        <w:spacing w:line="200" w:lineRule="atLeast"/>
        <w:ind w:leftChars="0"/>
        <w:jc w:val="both"/>
        <w:rPr>
          <w:rFonts w:ascii="Arial" w:eastAsia="標楷體" w:hAnsi="Arial" w:cs="Arial"/>
          <w:b/>
          <w:color w:val="000000" w:themeColor="text1"/>
          <w:sz w:val="18"/>
          <w:szCs w:val="18"/>
        </w:rPr>
      </w:pPr>
      <w:r w:rsidRPr="000E1947">
        <w:rPr>
          <w:rFonts w:ascii="Arial" w:eastAsia="標楷體" w:hAnsi="Arial" w:cs="Arial"/>
          <w:b/>
          <w:color w:val="000000" w:themeColor="text1"/>
          <w:sz w:val="18"/>
          <w:szCs w:val="18"/>
        </w:rPr>
        <w:t>發</w:t>
      </w:r>
      <w:r w:rsidRPr="000E1947">
        <w:rPr>
          <w:rFonts w:ascii="Arial" w:eastAsia="標楷體" w:hAnsi="Arial" w:cs="Arial"/>
          <w:b/>
          <w:color w:val="000000" w:themeColor="text1"/>
          <w:sz w:val="18"/>
          <w:szCs w:val="18"/>
        </w:rPr>
        <w:t xml:space="preserve"> </w:t>
      </w:r>
      <w:r w:rsidRPr="000E1947">
        <w:rPr>
          <w:rFonts w:ascii="Arial" w:eastAsia="標楷體" w:hAnsi="Arial" w:cs="Arial"/>
          <w:b/>
          <w:color w:val="000000" w:themeColor="text1"/>
          <w:sz w:val="18"/>
          <w:szCs w:val="18"/>
        </w:rPr>
        <w:t>行</w:t>
      </w:r>
      <w:r w:rsidRPr="000E1947">
        <w:rPr>
          <w:rFonts w:ascii="Arial" w:eastAsia="標楷體" w:hAnsi="Arial" w:cs="Arial"/>
          <w:b/>
          <w:color w:val="000000" w:themeColor="text1"/>
          <w:sz w:val="18"/>
          <w:szCs w:val="18"/>
        </w:rPr>
        <w:t xml:space="preserve"> </w:t>
      </w:r>
      <w:r w:rsidRPr="000E1947">
        <w:rPr>
          <w:rFonts w:ascii="Arial" w:eastAsia="標楷體" w:hAnsi="Arial" w:cs="Arial"/>
          <w:b/>
          <w:color w:val="000000" w:themeColor="text1"/>
          <w:sz w:val="18"/>
          <w:szCs w:val="18"/>
        </w:rPr>
        <w:t>條</w:t>
      </w:r>
      <w:r w:rsidRPr="000E1947">
        <w:rPr>
          <w:rFonts w:ascii="Arial" w:eastAsia="標楷體" w:hAnsi="Arial" w:cs="Arial"/>
          <w:b/>
          <w:color w:val="000000" w:themeColor="text1"/>
          <w:sz w:val="18"/>
          <w:szCs w:val="18"/>
        </w:rPr>
        <w:t xml:space="preserve"> </w:t>
      </w:r>
      <w:r w:rsidRPr="000E1947">
        <w:rPr>
          <w:rFonts w:ascii="Arial" w:eastAsia="標楷體" w:hAnsi="Arial" w:cs="Arial"/>
          <w:b/>
          <w:color w:val="000000" w:themeColor="text1"/>
          <w:sz w:val="18"/>
          <w:szCs w:val="18"/>
        </w:rPr>
        <w:t>件</w:t>
      </w:r>
      <w:r w:rsidRPr="000E1947">
        <w:rPr>
          <w:rFonts w:ascii="Arial" w:eastAsia="標楷體" w:hAnsi="Arial" w:cs="Arial"/>
          <w:b/>
          <w:color w:val="000000" w:themeColor="text1"/>
          <w:sz w:val="18"/>
          <w:szCs w:val="18"/>
        </w:rPr>
        <w:t xml:space="preserve"> </w:t>
      </w:r>
      <w:r w:rsidRPr="000E1947">
        <w:rPr>
          <w:rFonts w:ascii="Arial" w:eastAsia="標楷體" w:hAnsi="Arial" w:cs="Arial"/>
          <w:b/>
          <w:color w:val="000000" w:themeColor="text1"/>
          <w:sz w:val="18"/>
          <w:szCs w:val="18"/>
        </w:rPr>
        <w:t>：</w:t>
      </w:r>
    </w:p>
    <w:p w14:paraId="2F30E2F5" w14:textId="3D1A75EC" w:rsidR="004E7743" w:rsidRPr="008E2ED8" w:rsidRDefault="004E7743" w:rsidP="008E2ED8">
      <w:pPr>
        <w:numPr>
          <w:ilvl w:val="0"/>
          <w:numId w:val="2"/>
        </w:numPr>
        <w:tabs>
          <w:tab w:val="clear" w:pos="1640"/>
        </w:tabs>
        <w:snapToGrid w:val="0"/>
        <w:spacing w:line="200" w:lineRule="atLeast"/>
        <w:ind w:left="480" w:hanging="360"/>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每單位發行價格：新台幣</w:t>
      </w:r>
      <w:r>
        <w:rPr>
          <w:rFonts w:ascii="Arial" w:eastAsia="標楷體" w:hAnsi="Arial" w:cs="Arial" w:hint="eastAsia"/>
          <w:color w:val="000000" w:themeColor="text1"/>
          <w:sz w:val="18"/>
          <w:szCs w:val="18"/>
        </w:rPr>
        <w:t>1.22</w:t>
      </w:r>
      <w:r w:rsidRPr="008E2ED8">
        <w:rPr>
          <w:rFonts w:ascii="Arial" w:eastAsia="標楷體" w:hAnsi="Arial" w:cs="Arial"/>
          <w:color w:val="000000" w:themeColor="text1"/>
          <w:sz w:val="18"/>
          <w:szCs w:val="18"/>
        </w:rPr>
        <w:t>元</w:t>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發行日前一營業日標的證券收盤價之</w:t>
      </w:r>
      <w:r>
        <w:rPr>
          <w:rFonts w:ascii="Arial" w:eastAsia="標楷體" w:hAnsi="Arial" w:cs="Arial" w:hint="eastAsia"/>
          <w:b/>
          <w:bCs/>
          <w:color w:val="000000" w:themeColor="text1"/>
          <w:sz w:val="18"/>
          <w:szCs w:val="18"/>
        </w:rPr>
        <w:t>0.290822</w:t>
      </w:r>
      <w:r w:rsidR="003F2A5D" w:rsidRPr="008E2ED8">
        <w:rPr>
          <w:rFonts w:ascii="Arial" w:eastAsia="標楷體" w:hAnsi="Arial" w:cs="Arial"/>
          <w:b/>
          <w:bCs/>
          <w:color w:val="000000" w:themeColor="text1"/>
          <w:sz w:val="18"/>
          <w:szCs w:val="18"/>
        </w:rPr>
        <w:t>%</w:t>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w:t>
      </w:r>
    </w:p>
    <w:p w14:paraId="017F9DCF" w14:textId="77777777" w:rsidR="00A563E0" w:rsidRPr="008E2ED8" w:rsidRDefault="004E7743" w:rsidP="008E2ED8">
      <w:pPr>
        <w:snapToGrid w:val="0"/>
        <w:spacing w:beforeLines="10" w:before="24" w:line="200" w:lineRule="atLeast"/>
        <w:ind w:leftChars="200" w:left="556" w:hangingChars="42" w:hanging="76"/>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價格計算說明：</w:t>
      </w:r>
    </w:p>
    <w:p w14:paraId="17D5C8A5" w14:textId="77777777" w:rsidR="0080085B" w:rsidRPr="008E2ED8" w:rsidRDefault="00A563E0" w:rsidP="008E2ED8">
      <w:pPr>
        <w:snapToGrid w:val="0"/>
        <w:spacing w:beforeLines="10" w:before="24" w:line="200" w:lineRule="atLeast"/>
        <w:ind w:leftChars="200" w:left="556" w:hangingChars="42" w:hanging="76"/>
        <w:jc w:val="both"/>
        <w:rPr>
          <w:rFonts w:ascii="Arial" w:hAnsi="Arial" w:cs="Arial"/>
          <w:color w:val="000000" w:themeColor="text1"/>
          <w:sz w:val="18"/>
          <w:szCs w:val="18"/>
        </w:rPr>
      </w:pPr>
      <w:r w:rsidRPr="008E2ED8">
        <w:rPr>
          <w:rFonts w:ascii="Arial" w:eastAsia="標楷體" w:hAnsi="Arial" w:cs="Arial"/>
          <w:color w:val="000000" w:themeColor="text1"/>
          <w:sz w:val="18"/>
          <w:szCs w:val="18"/>
        </w:rPr>
        <w:t>評價模型：採用</w:t>
      </w:r>
      <w:r w:rsidR="004E0125" w:rsidRPr="008E2ED8">
        <w:rPr>
          <w:rFonts w:ascii="Arial" w:eastAsia="標楷體" w:hAnsi="Arial" w:cs="Arial"/>
          <w:b/>
          <w:color w:val="000000" w:themeColor="text1"/>
          <w:sz w:val="18"/>
          <w:szCs w:val="18"/>
        </w:rPr>
        <w:t>Black&amp;</w:t>
      </w:r>
      <w:r w:rsidRPr="008E2ED8">
        <w:rPr>
          <w:rFonts w:ascii="Arial" w:eastAsia="標楷體" w:hAnsi="Arial" w:cs="Arial"/>
          <w:b/>
          <w:color w:val="000000" w:themeColor="text1"/>
          <w:sz w:val="18"/>
          <w:szCs w:val="18"/>
        </w:rPr>
        <w:t>Scholes</w:t>
      </w:r>
      <w:r w:rsidRPr="008E2ED8">
        <w:rPr>
          <w:rFonts w:ascii="Arial" w:eastAsia="標楷體" w:hAnsi="Arial" w:cs="Arial"/>
          <w:color w:val="000000" w:themeColor="text1"/>
          <w:sz w:val="18"/>
          <w:szCs w:val="18"/>
        </w:rPr>
        <w:t>為評價模型</w:t>
      </w:r>
      <w:r w:rsidR="00D21AC5" w:rsidRPr="00D21AC5">
        <w:rPr>
          <w:rFonts w:ascii="Arial" w:eastAsia="標楷體" w:hAnsi="Arial" w:cs="Arial" w:hint="eastAsia"/>
          <w:color w:val="000000" w:themeColor="text1"/>
          <w:sz w:val="18"/>
          <w:szCs w:val="18"/>
        </w:rPr>
        <w:t>，</w:t>
      </w:r>
      <w:r w:rsidR="00161C7D" w:rsidRPr="00161C7D">
        <w:rPr>
          <w:rFonts w:ascii="Arial" w:eastAsia="標楷體" w:hAnsi="Arial" w:cs="Arial" w:hint="eastAsia"/>
          <w:color w:val="000000" w:themeColor="text1"/>
          <w:sz w:val="18"/>
          <w:szCs w:val="18"/>
        </w:rPr>
        <w:t>除農曆年假封關期間外，權證時間價值將依交易日遞減。</w:t>
      </w:r>
    </w:p>
    <w:tbl>
      <w:tblPr>
        <w:tblW w:w="0" w:type="auto"/>
        <w:tblInd w:w="1080" w:type="dxa"/>
        <w:tblLayout w:type="fixed"/>
        <w:tblCellMar>
          <w:left w:w="28" w:type="dxa"/>
          <w:right w:w="28" w:type="dxa"/>
        </w:tblCellMar>
        <w:tblLook w:val="0000" w:firstRow="0" w:lastRow="0" w:firstColumn="0" w:lastColumn="0" w:noHBand="0" w:noVBand="0"/>
      </w:tblPr>
      <w:tblGrid>
        <w:gridCol w:w="1135"/>
        <w:gridCol w:w="1135"/>
        <w:gridCol w:w="1136"/>
        <w:gridCol w:w="1135"/>
        <w:gridCol w:w="1136"/>
        <w:gridCol w:w="1135"/>
        <w:gridCol w:w="1136"/>
      </w:tblGrid>
      <w:tr w:rsidR="008E2ED8" w:rsidRPr="008E2ED8" w14:paraId="59EC5E96" w14:textId="77777777" w:rsidTr="00DB3FE5">
        <w:trPr>
          <w:trHeight w:val="170"/>
        </w:trPr>
        <w:tc>
          <w:tcPr>
            <w:tcW w:w="1135" w:type="dxa"/>
            <w:tcBorders>
              <w:top w:val="single" w:sz="6" w:space="0" w:color="auto"/>
              <w:left w:val="single" w:sz="6" w:space="0" w:color="auto"/>
              <w:bottom w:val="single" w:sz="6" w:space="0" w:color="auto"/>
              <w:right w:val="single" w:sz="6" w:space="0" w:color="auto"/>
            </w:tcBorders>
          </w:tcPr>
          <w:p w14:paraId="7F7F2F7D"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sidRPr="008E2ED8">
              <w:rPr>
                <w:rFonts w:ascii="Arial" w:eastAsia="標楷體" w:hAnsi="標楷體" w:cs="Arial" w:hint="eastAsia"/>
                <w:b/>
                <w:bCs/>
                <w:color w:val="000000" w:themeColor="text1"/>
                <w:kern w:val="2"/>
                <w:sz w:val="14"/>
                <w:szCs w:val="14"/>
              </w:rPr>
              <w:t>權證名稱</w:t>
            </w:r>
          </w:p>
        </w:tc>
        <w:tc>
          <w:tcPr>
            <w:tcW w:w="1135" w:type="dxa"/>
            <w:tcBorders>
              <w:top w:val="single" w:sz="6" w:space="0" w:color="auto"/>
              <w:left w:val="single" w:sz="6" w:space="0" w:color="auto"/>
              <w:bottom w:val="single" w:sz="6" w:space="0" w:color="auto"/>
              <w:right w:val="single" w:sz="6" w:space="0" w:color="auto"/>
            </w:tcBorders>
          </w:tcPr>
          <w:p w14:paraId="4D4DDA0A"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sidRPr="008E2ED8">
              <w:rPr>
                <w:rFonts w:ascii="Arial" w:eastAsia="標楷體" w:hAnsi="標楷體" w:cs="Arial" w:hint="eastAsia"/>
                <w:b/>
                <w:bCs/>
                <w:color w:val="000000" w:themeColor="text1"/>
                <w:kern w:val="2"/>
                <w:sz w:val="14"/>
                <w:szCs w:val="14"/>
              </w:rPr>
              <w:t>發行日</w:t>
            </w:r>
          </w:p>
        </w:tc>
        <w:tc>
          <w:tcPr>
            <w:tcW w:w="1136" w:type="dxa"/>
            <w:tcBorders>
              <w:top w:val="single" w:sz="6" w:space="0" w:color="auto"/>
              <w:left w:val="single" w:sz="6" w:space="0" w:color="auto"/>
              <w:bottom w:val="single" w:sz="6" w:space="0" w:color="auto"/>
              <w:right w:val="single" w:sz="6" w:space="0" w:color="auto"/>
            </w:tcBorders>
          </w:tcPr>
          <w:p w14:paraId="3EB28B06"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sidRPr="008E2ED8">
              <w:rPr>
                <w:rFonts w:ascii="Arial" w:eastAsia="標楷體" w:hAnsi="標楷體" w:cs="Arial" w:hint="eastAsia"/>
                <w:b/>
                <w:bCs/>
                <w:color w:val="000000" w:themeColor="text1"/>
                <w:kern w:val="2"/>
                <w:sz w:val="14"/>
                <w:szCs w:val="14"/>
              </w:rPr>
              <w:t>存續期間</w:t>
            </w:r>
          </w:p>
        </w:tc>
        <w:tc>
          <w:tcPr>
            <w:tcW w:w="1135" w:type="dxa"/>
            <w:tcBorders>
              <w:top w:val="single" w:sz="6" w:space="0" w:color="auto"/>
              <w:left w:val="single" w:sz="6" w:space="0" w:color="auto"/>
              <w:bottom w:val="single" w:sz="6" w:space="0" w:color="auto"/>
              <w:right w:val="single" w:sz="6" w:space="0" w:color="auto"/>
            </w:tcBorders>
          </w:tcPr>
          <w:p w14:paraId="628C3367"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sidRPr="008E2ED8">
              <w:rPr>
                <w:rFonts w:ascii="Arial" w:eastAsia="標楷體" w:hAnsi="標楷體" w:cs="Arial" w:hint="eastAsia"/>
                <w:b/>
                <w:bCs/>
                <w:color w:val="000000" w:themeColor="text1"/>
                <w:kern w:val="2"/>
                <w:sz w:val="14"/>
                <w:szCs w:val="14"/>
              </w:rPr>
              <w:t>標的證券價格</w:t>
            </w:r>
          </w:p>
        </w:tc>
        <w:tc>
          <w:tcPr>
            <w:tcW w:w="1136" w:type="dxa"/>
            <w:tcBorders>
              <w:top w:val="single" w:sz="6" w:space="0" w:color="auto"/>
              <w:left w:val="single" w:sz="6" w:space="0" w:color="auto"/>
              <w:bottom w:val="single" w:sz="6" w:space="0" w:color="auto"/>
              <w:right w:val="single" w:sz="6" w:space="0" w:color="auto"/>
            </w:tcBorders>
          </w:tcPr>
          <w:p w14:paraId="379CE889"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sidRPr="008E2ED8">
              <w:rPr>
                <w:rFonts w:ascii="Arial" w:eastAsia="標楷體" w:hAnsi="標楷體" w:cs="Arial" w:hint="eastAsia"/>
                <w:b/>
                <w:bCs/>
                <w:color w:val="000000" w:themeColor="text1"/>
                <w:kern w:val="2"/>
                <w:sz w:val="14"/>
                <w:szCs w:val="14"/>
              </w:rPr>
              <w:t>原始履約價格</w:t>
            </w:r>
          </w:p>
        </w:tc>
        <w:tc>
          <w:tcPr>
            <w:tcW w:w="1135" w:type="dxa"/>
            <w:tcBorders>
              <w:top w:val="single" w:sz="6" w:space="0" w:color="auto"/>
              <w:left w:val="single" w:sz="6" w:space="0" w:color="auto"/>
              <w:bottom w:val="single" w:sz="6" w:space="0" w:color="auto"/>
              <w:right w:val="single" w:sz="6" w:space="0" w:color="auto"/>
            </w:tcBorders>
          </w:tcPr>
          <w:p w14:paraId="19919BC0"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sidRPr="008E2ED8">
              <w:rPr>
                <w:rFonts w:ascii="Arial" w:eastAsia="標楷體" w:hAnsi="標楷體" w:cs="Arial" w:hint="eastAsia"/>
                <w:b/>
                <w:bCs/>
                <w:color w:val="000000" w:themeColor="text1"/>
                <w:kern w:val="2"/>
                <w:sz w:val="14"/>
                <w:szCs w:val="14"/>
              </w:rPr>
              <w:t>定價波動率</w:t>
            </w:r>
          </w:p>
        </w:tc>
        <w:tc>
          <w:tcPr>
            <w:tcW w:w="1136" w:type="dxa"/>
            <w:tcBorders>
              <w:top w:val="single" w:sz="6" w:space="0" w:color="auto"/>
              <w:left w:val="single" w:sz="6" w:space="0" w:color="auto"/>
              <w:bottom w:val="single" w:sz="6" w:space="0" w:color="auto"/>
              <w:right w:val="single" w:sz="6" w:space="0" w:color="auto"/>
            </w:tcBorders>
          </w:tcPr>
          <w:p w14:paraId="0210CF46"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sidRPr="008E2ED8">
              <w:rPr>
                <w:rFonts w:ascii="Arial" w:eastAsia="標楷體" w:hAnsi="標楷體" w:cs="Arial" w:hint="eastAsia"/>
                <w:b/>
                <w:bCs/>
                <w:color w:val="000000" w:themeColor="text1"/>
                <w:kern w:val="2"/>
                <w:sz w:val="14"/>
                <w:szCs w:val="14"/>
              </w:rPr>
              <w:t>利率</w:t>
            </w:r>
          </w:p>
        </w:tc>
      </w:tr>
      <w:tr w:rsidR="008E2ED8" w:rsidRPr="008E2ED8" w14:paraId="1BC80D1B" w14:textId="77777777" w:rsidTr="00DB3FE5">
        <w:trPr>
          <w:trHeight w:val="131"/>
        </w:trP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亞翔國泰56購01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114/11/18</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419.50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440.00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63.500%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1.01%</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亞翔國泰56購02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114/11/18</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419.50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475.00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63.379%</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1.01%</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亞翔中信4B購03</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114/04/23</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222.50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300.00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120.000%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亞翔中信51購01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114/06/25</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337.00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500.00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180.000%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亞翔中信54購01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114/09/01</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353.00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450.00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78.000%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亞翔中信55購01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114/09/05</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353.00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525.00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85.000%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亞翔中信55購02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114/09/12</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387.00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500.00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100.000%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亞翔中信55購03</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114/10/16</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451.00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600.00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75.000%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亞翔中信57購01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114/10/15</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410.00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600.00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85.000%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亞翔中信59售01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114/10/31</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10個月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463.00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400.00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62.000%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亞翔中信5B購01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114/10/31</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463.00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680.00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58.000%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亞翔元大4B購01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114/02/19</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258.00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385.00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61.000%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亞翔元大4B購02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114/02/20</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261.00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372.00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61.000%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亞翔元大4C購01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114/02/07</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10個月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244.00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357.50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61.000%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亞翔元大4C購02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114/02/10</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10個月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248.00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292.00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61.000%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亞翔元大4C購03</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114/02/11</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10個月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247.50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245.00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61.000%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亞翔元大4C購04</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114/06/24</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323.00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484.50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68.000%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亞翔元大4C購05</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114/06/24</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323.00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470.00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66.000%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亞翔元大4C購06</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114/06/24</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323.00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450.00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66.000%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亞翔元大4C購07</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114/06/24</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323.00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420.00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66.000%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亞翔元大4C購08</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114/06/24</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323.00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400.00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66.000%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亞翔元大4C購09</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114/06/24</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323.00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350.00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64.000%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亞翔元大4C購10</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114/06/26</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338.00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498.50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64.000%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亞翔元大51售05</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114/07/04</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308.00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154.00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70.000%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亞翔元大51購01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114/02/11</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247.50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260.00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61.000%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亞翔元大51購02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114/02/12</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246.50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369.00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61.000%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亞翔元大51購03</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114/03/13</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10個月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257.50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302.50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61.000%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亞翔元大51購04</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114/03/14</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10個月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256.00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290.00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61.000%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亞翔元大51購06</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114/07/10</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307.00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384.50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66.000%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亞翔元大51購07</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114/07/11</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306.00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336.50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66.000%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亞翔元大51購08</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114/07/15</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309.50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325.00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66.000%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亞翔元大51購09</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114/07/16</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319.00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410.00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66.000%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亞翔元大51購10</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114/07/16</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319.00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392.50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66.000%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亞翔元大51購11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114/07/23</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339.00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491.50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66.000%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亞翔元大52售03</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114/07/30</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340.00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300.50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68.000%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亞翔元大52購01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114/03/07</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275.00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355.00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61.000%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亞翔元大52購02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114/03/10</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270.00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307.50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61.000%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亞翔元大52購04</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114/08/08</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339.50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455.00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59.000%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亞翔元大53購01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114/07/23</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339.00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477.50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66.000%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亞翔元大53購02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114/07/24</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338.50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378.50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64.000%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亞翔元大53購03</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114/07/25</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351.00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442.50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62.000%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亞翔元大53購04</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114/07/29</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345.50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518.00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62.000%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亞翔元大53購05</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114/07/30</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340.00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415.00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61.000%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亞翔元大53購06</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114/09/24</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358.50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533.00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62.000%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亞翔元大53購07</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114/09/25</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362.00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539.00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62.000%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亞翔元大53購08</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114/09/26</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358.50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466.50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62.000%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亞翔元大54購01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114/06/26</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10個月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338.00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505.00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64.000%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亞翔元大54購02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114/07/10</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307.00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435.00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66.000%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亞翔元大54購03</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114/07/17</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322.00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315.00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66.000%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亞翔元大54購04</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114/07/21</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345.00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427.50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66.000%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亞翔元大54購05</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114/08/12</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332.00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343.50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65.000%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亞翔元大54購06</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114/08/15</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340.00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405.00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60.000%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亞翔元大54購07</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114/08/18</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343.50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510.00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60.000%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亞翔元大54購08</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114/08/22</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332.00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446.50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59.000%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亞翔元大54購09</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114/09/02</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378.50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567.00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63.000%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亞翔元大54購10</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114/09/03</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367.00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528.00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62.000%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亞翔元大54購11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114/09/03</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367.00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550.00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62.000%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亞翔元大54購12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114/09/18</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353.00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523.00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65.000%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亞翔元大54購13</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114/09/30</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349.00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415.00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62.000%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亞翔元大54購14</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114/10/09</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398.50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588.00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62.000%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亞翔元大54購15</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114/10/13</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433.50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567.00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62.000%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亞翔元大54購16</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114/10/16</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451.00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642.00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62.000%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亞翔元大54購17</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114/10/20</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429.00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615.00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66.000%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亞翔元大54購18</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114/10/29</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438.50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629.00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68.000%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亞翔元大55購01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114/10/30</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456.50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684.00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71.000%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亞翔元大55購02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114/10/30</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456.50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665.00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71.000%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亞翔元大55購03</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114/11/03</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478.50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717.00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69.000%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亞翔元大55購04</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114/11/07</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480.00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602.00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69.000%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亞翔元大55購05</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114/11/10</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474.00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701.00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69.000%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亞翔元大55購06</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114/11/11</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431.00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556.00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72.000%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亞翔元大55購07</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114/11/13</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410.00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451.00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71.000%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亞翔元大55購08</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114/11/14</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415.50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579.00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71.000%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亞翔元大57購01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114/07/17</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322.00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460.00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66.000%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亞翔元大58購01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114/08/05</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326.00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465.00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60.000%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亞翔元大58購02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114/08/06</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325.00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363.50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59.000%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亞翔元大58購03</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114/08/28</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359.00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537.00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60.000%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亞翔元富4C售03</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114/06/25</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337.00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280.00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80.000%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亞翔元富4C購01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114/06/24</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323.00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415.00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69.000%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亞翔元富4C購02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114/06/24</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323.00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480.00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69.000%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亞翔元富4C購04</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114/06/26</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338.00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405.00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73.000%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亞翔元富51購01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114/07/25</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351.00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380.00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65.000%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亞翔元富53購01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114/03/07</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275.00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340.00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65.000%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亞翔元富54購01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114/07/04</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308.00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450.00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70.000%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亞翔元富54購02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114/10/01</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359.00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400.00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63.000%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亞翔元富54購03</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114/10/16</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451.00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535.00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65.000%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亞翔元富54購04</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114/10/16</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451.00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630.00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65.000%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亞翔元富55購01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114/08/08</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339.50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509.25</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68.000%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亞翔元富55購02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114/11/03</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478.50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717.75</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68.000%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亞翔元富56購01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114/09/12</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387.00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580.00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70.000%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亞翔台新4C購01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114/06/24</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323.00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484.50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66.000%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亞翔台新4C購02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114/06/24</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323.00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388.88</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60.000%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亞翔永豐4C購01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114/03/06</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269.50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342.50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62.000%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亞翔永豐4C購02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114/05/27</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249.50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308.00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66.000%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亞翔永豐51售04</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114/07/28</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354.00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215.00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67.000%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亞翔永豐51購01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114/05/13</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244.00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275.00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70.000%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亞翔永豐51購02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114/06/24</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323.00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484.50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60.000%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亞翔永豐51購03</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114/07/21</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345.00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517.50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60.000%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亞翔永豐52售02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114/07/17</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322.00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250.00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70.000%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亞翔永豐52購01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114/06/23</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294.00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441.00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61.000%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亞翔永豐53購01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114/07/04</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308.00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340.00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62.000%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亞翔永豐53購02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114/07/28</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354.00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531.00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59.000%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亞翔永豐53購03</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114/08/13</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325.00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400.00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57.000%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亞翔永豐54購01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114/07/14</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306.00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356.00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63.000%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亞翔永豐54購02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114/08/15</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340.00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425.00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57.000%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亞翔永豐54購03</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114/08/28</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359.00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458.00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58.000%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亞翔永豐54購04</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114/10/23</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430.00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578.00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63.000%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亞翔永豐55購01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114/09/03</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367.00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550.50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60.000%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亞翔永豐55購02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114/10/13</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433.50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650.25</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65.000%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亞翔永豐55購03</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114/11/11</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431.00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488.00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63.000%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亞翔永豐56購01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114/09/30</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349.00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400.00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60.000%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亞翔永豐56購02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114/10/13</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433.50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650.25</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67.000%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亞翔兆豐53購01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114/06/25</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337.00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377.50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61.000%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亞翔兆豐54購01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114/08/08</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339.50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415.50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53.000%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亞翔兆豐55購01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114/09/02</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378.50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453.00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53.000%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亞翔兆豐56購01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114/10/14</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424.00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481.00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55.000%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亞翔兆豐56購02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114/10/17</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454.00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541.00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58.000%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亞翔國泰51購01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114/06/25</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337.00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350.00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62.000%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1.01%</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亞翔國泰51購02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114/06/25</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337.00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380.00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62.000%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1.01%</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亞翔國泰52購01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114/07/15</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309.50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325.00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61.000%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1.01%</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亞翔國泰53售03</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114/08/18</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343.50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310.00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62.000%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1.01%</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亞翔國泰53購01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114/07/28</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354.00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365.00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56.000%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1.01%</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亞翔國泰53購02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114/07/28</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354.00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400.00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56.000%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1.01%</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亞翔國泰53購04</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114/08/26</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344.50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350.00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52.000%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1.01%</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亞翔國泰54購01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114/08/29</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349.50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380.00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54.000%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1.01%</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亞翔國票4B購02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114/05/23</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241.00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250.00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60.000%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亞翔國票4C售02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114/06/24</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323.00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300.00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72.000%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亞翔國票4C購01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114/02/27</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277.50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300.00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59.000%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亞翔國票4C購03</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114/06/24</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323.00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450.00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68.000%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亞翔國票51售01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114/06/24</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323.00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250.00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73.000%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亞翔國票51售03</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114/06/26</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338.00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350.00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73.000%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亞翔國票51購02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114/06/25</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337.00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500.00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66.000%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亞翔國票51購04</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114/07/14</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306.00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345.00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58.000%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亞翔國票52購01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114/06/03</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251.00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265.00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58.000%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亞翔國票53售02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114/06/26</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338.00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200.00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76.000%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亞翔國票53購01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114/06/26</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338.00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388.00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63.000%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亞翔國票53購03</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114/07/23</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339.00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475.00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62.000%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亞翔國票54售04</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114/10/16</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451.00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400.00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68.000%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亞翔國票54購01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114/07/18</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342.50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420.00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60.000%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亞翔國票54購02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114/09/26</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358.50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535.00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63.000%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亞翔國票54購03</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114/10/16</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451.00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666.00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63.000%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亞翔國票55購01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114/10/16</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451.00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600.00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60.000%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亞翔國票55購02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114/11/10</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474.00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500.00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60.000%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亞翔國票56購01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114/09/26</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358.50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430.00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60.000%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亞翔國票56購02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114/11/10</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474.00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567.50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62.000%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亞翔國票57購01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114/11/10</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474.00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711.00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66.000%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亞翔統一4C購01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113/07/30</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226.00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325.00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93.000%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亞翔統一4C購02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113/07/30</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226.00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288.88</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90.000%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亞翔統一52購01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114/02/04</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250.00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288.00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71.000%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亞翔統一52購02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114/02/05</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238.00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286.66</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68.000%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亞翔統一52購03</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114/02/14</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258.50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387.75</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75.000%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亞翔統一53購01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114/02/27</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277.50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366.66</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82.000%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亞翔統一53購02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114/03/03</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274.00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410.11</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90.000%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亞翔統一54購01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114/02/14</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14個月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258.50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331.00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71.000%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亞翔統一56購01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113/07/29</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22個月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235.00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288.88</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100.000%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亞翔統一56購02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114/06/24</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323.00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458.88</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85.000%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亞翔統一56購03</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114/06/25</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337.00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458.88</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90.000%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亞翔統一56購04</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114/07/04</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308.00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380.50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71.000%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亞翔統一57購01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113/07/29</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24個月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235.00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345.67</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100.000%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亞翔統一57購02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113/07/30</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24個月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226.00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338.88</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亞翔統一57購03</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114/07/04</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308.00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462.00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68.000%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亞翔統一57購04</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114/08/06</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325.00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487.50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68.000%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亞翔統一57購05</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114/09/05</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10個月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353.00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529.50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70.000%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亞翔統一58購01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114/02/14</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18個月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258.50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380.88</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115.000%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亞翔統一59購01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114/09/03</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367.00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437.50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71.000%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亞翔統一5C購01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114/06/23</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18個月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294.00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439.99</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109.000%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亞翔統一62購01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114/06/24</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20個月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323.00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482.88</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109.000%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亞翔統一6A購01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114/10/15</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24個月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410.00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612.88</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109.000%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亞翔凱基4B購01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114/02/24</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267.00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400.00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61.000%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亞翔凱基4C售03</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114/06/25</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337.00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270.00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72.000%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亞翔凱基4C購01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114/02/06</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10個月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243.50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365.00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65.000%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亞翔凱基4C購02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114/06/24</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323.00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480.00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66.000%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亞翔凱基51售08</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114/07/29</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345.50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310.00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68.000%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亞翔凱基51購01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114/03/05</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10個月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273.50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290.00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61.000%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亞翔凱基51購02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114/03/12</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10個月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257.50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265.00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59.000%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亞翔凱基51購03</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114/03/14</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10個月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256.00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355.00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60.000%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亞翔凱基51購04</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114/06/23</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294.00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440.00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66.000%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亞翔凱基51購05</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114/06/26</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338.00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507.00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66.000%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亞翔凱基51購06</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114/07/15</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309.50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410.00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65.000%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亞翔凱基51購07</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114/07/16</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319.00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335.00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62.000%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亞翔凱基52購01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114/03/06</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269.50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395.00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61.000%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亞翔凱基53購01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114/07/24</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338.50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460.00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62.000%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亞翔凱基53購02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114/08/19</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330.00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450.00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59.000%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亞翔凱基53購03</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114/08/21</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318.00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345.00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57.000%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亞翔凱基53購04</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114/08/25</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336.00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480.00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60.000%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亞翔凱基53購05</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114/09/12</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387.00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580.00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60.000%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亞翔凱基54售06</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114/10/09</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398.50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300.00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66.000%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亞翔凱基54購01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114/07/21</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345.00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425.00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65.000%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亞翔凱基54購02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114/07/31</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330.00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375.00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56.000%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亞翔凱基54購03</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114/08/08</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339.50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490.00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62.000%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亞翔凱基54購04</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114/09/02</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378.50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567.00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60.000%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亞翔凱基54購05</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114/09/03</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367.00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400.00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59.000%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亞翔凱基54購07</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114/10/13</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433.50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520.00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59.000%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亞翔凱基54購08</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114/10/14</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424.00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635.00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62.000%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亞翔凱基54購09</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114/10/17</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454.00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675.00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62.000%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亞翔凱基54購10</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114/10/21</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428.00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480.00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60.000%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亞翔凱基54購11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114/10/23</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430.00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600.00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62.000%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亞翔凱基55購01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114/09/30</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349.00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490.00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59.000%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亞翔凱基55購02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114/10/30</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456.50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560.00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63.000%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亞翔凱基55購03</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114/10/31</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463.00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694.00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65.000%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亞翔凱基55購04</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114/11/06</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469.00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580.00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63.000%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亞翔凱基55購05</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114/11/12</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407.00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430.00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63.000%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亞翔凱基55購06</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114/11/14</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415.50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530.00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65.000%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亞翔凱基56購01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114/11/04</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467.00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510.00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63.000%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亞翔凱基56購02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114/11/10</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474.00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620.00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62.000%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亞翔凱基57購01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114/08/13</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325.00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470.00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59.000%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亞翔凱基59購01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114/08/29</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349.50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524.00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60.000%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亞翔富邦4B購03</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114/04/18</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221.00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280.00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80.000%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亞翔富邦4C購01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114/06/26</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338.00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410.00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66.000%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亞翔富邦51購01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114/06/04</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260.50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310.00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62.000%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亞翔富邦52購01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114/07/17</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322.00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360.00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97.000%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亞翔富邦52購02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114/07/23</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339.00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450.00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66.000%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亞翔富邦53購01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114/08/22</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332.00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400.00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85.000%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亞翔富邦54購01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114/09/09</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366.50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500.00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85.000%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亞翔富邦55購01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114/07/28</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10個月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354.00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450.00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87.000%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亞翔富邦55購02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114/10/14</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424.00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580.00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84.000%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亞翔富邦58購01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114/10/17</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10個月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454.00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630.00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68.000%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亞翔群益4C購01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114/06/06</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270.00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326.00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70.000%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亞翔群益4C購02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114/06/09</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270.00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300.00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66.000%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亞翔群益4C購03</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114/06/24</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323.00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456.66</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75.000%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亞翔群益51售03</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114/06/25</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337.00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188.66</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75.000%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亞翔群益51購01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114/06/23</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294.00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435.00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72.000%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亞翔群益51購02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114/06/24</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323.00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484.00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80.000%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亞翔群益51購04</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114/07/16</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319.00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380.00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61.000%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亞翔群益51購05</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114/07/17</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322.00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385.00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61.000%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亞翔群益51購06</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114/07/22</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343.50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415.00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70.000%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亞翔群益51購07</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114/07/25</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351.00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410.00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69.000%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亞翔群益51購08</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114/07/28</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354.00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372.66</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74.000%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亞翔群益52售01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114/07/07</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298.50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76.000%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亞翔群益52購02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114/08/20</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326.00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360.00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57.000%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亞翔群益52購03</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114/08/22</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332.00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365.00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60.000%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亞翔群益52購04</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114/08/25</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336.00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391.50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58.000%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亞翔群益53購01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114/02/27</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277.50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401.23</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62.000%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亞翔群益53購02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114/08/08</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339.50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509.00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65.000%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亞翔群益53購03</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114/09/03</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367.00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475.00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67.000%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亞翔群益53購04</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114/09/15</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370.50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555.00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63.000%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亞翔群益54購01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114/09/02</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378.50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567.00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68.000%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亞翔群益54購02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114/10/13</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433.50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600.00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68.000%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亞翔群益54購03</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114/10/15</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410.00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500.00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57.000%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亞翔群益54購04</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114/10/16</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451.00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673.50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70.000%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亞翔群益54購05</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114/10/22</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433.00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580.00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66.000%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亞翔群益55購01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114/10/13</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433.50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640.00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72.000%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亞翔群益55購02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114/11/03</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478.50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717.00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72.000%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亞翔群益55購03</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114/11/05</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458.00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590.00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58.000%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亞翔群益55購04</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114/11/13</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410.00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425.00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58.000%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亞翔群益56售01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114/10/13</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433.50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335.00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61.000%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亞翔群益56購02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114/10/31</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463.00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694.00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75.000%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bl>
    <w:p w14:paraId="64AB8698" w14:textId="77777777" w:rsidR="00936E9E" w:rsidRPr="008E2ED8" w:rsidRDefault="00936E9E" w:rsidP="008E2ED8">
      <w:pPr>
        <w:snapToGrid w:val="0"/>
        <w:spacing w:line="200" w:lineRule="atLeast"/>
        <w:ind w:leftChars="200" w:left="539" w:hangingChars="42" w:hanging="59"/>
        <w:jc w:val="both"/>
        <w:rPr>
          <w:rFonts w:ascii="Arial" w:eastAsia="標楷體" w:hAnsi="Arial" w:cs="Arial"/>
          <w:color w:val="000000" w:themeColor="text1"/>
          <w:sz w:val="14"/>
          <w:szCs w:val="14"/>
        </w:rPr>
      </w:pPr>
    </w:p>
    <w:p w14:paraId="2357617E" w14:textId="23FDA1EB" w:rsidR="004E7743" w:rsidRPr="008E2ED8" w:rsidRDefault="004E7743" w:rsidP="008E2ED8">
      <w:pPr>
        <w:snapToGrid w:val="0"/>
        <w:spacing w:line="200" w:lineRule="atLeast"/>
        <w:ind w:leftChars="200" w:left="556" w:hangingChars="42" w:hanging="76"/>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每單位原始履約價格：新台幣</w:t>
      </w:r>
      <w:r>
        <w:rPr>
          <w:rFonts w:ascii="Arial" w:eastAsia="標楷體" w:hAnsi="Arial" w:cs="Arial" w:hint="eastAsia"/>
          <w:b/>
          <w:bCs/>
          <w:color w:val="000000" w:themeColor="text1"/>
          <w:sz w:val="18"/>
          <w:szCs w:val="18"/>
        </w:rPr>
        <w:t>475.00</w:t>
      </w:r>
      <w:r w:rsidR="003F2A5D" w:rsidRPr="008E2ED8">
        <w:rPr>
          <w:rFonts w:ascii="Arial" w:eastAsia="標楷體" w:hAnsi="Arial" w:cs="Arial"/>
          <w:b/>
          <w:bCs/>
          <w:color w:val="000000" w:themeColor="text1"/>
          <w:sz w:val="18"/>
          <w:szCs w:val="18"/>
        </w:rPr>
        <w:t xml:space="preserve"> </w:t>
      </w:r>
      <w:r w:rsidRPr="008E2ED8">
        <w:rPr>
          <w:rFonts w:ascii="Arial" w:eastAsia="標楷體" w:hAnsi="Arial" w:cs="Arial"/>
          <w:color w:val="000000" w:themeColor="text1"/>
          <w:sz w:val="18"/>
          <w:szCs w:val="18"/>
        </w:rPr>
        <w:t>元</w:t>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發行日前一營業日標的證券收盤價之</w:t>
      </w:r>
      <w:r>
        <w:rPr>
          <w:rFonts w:ascii="Arial" w:eastAsia="標楷體" w:hAnsi="Arial" w:cs="Arial" w:hint="eastAsia"/>
          <w:b/>
          <w:bCs/>
          <w:color w:val="000000" w:themeColor="text1"/>
          <w:sz w:val="18"/>
          <w:szCs w:val="18"/>
        </w:rPr>
        <w:t>113.2301</w:t>
      </w:r>
      <w:r w:rsidR="003F2A5D" w:rsidRPr="008E2ED8">
        <w:rPr>
          <w:rFonts w:ascii="Arial" w:eastAsia="標楷體" w:hAnsi="Arial" w:cs="Arial"/>
          <w:b/>
          <w:bCs/>
          <w:color w:val="000000" w:themeColor="text1"/>
          <w:sz w:val="18"/>
          <w:szCs w:val="18"/>
        </w:rPr>
        <w:t>%</w:t>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w:t>
      </w:r>
    </w:p>
    <w:p w14:paraId="6A43E44E" w14:textId="77777777" w:rsidR="004E7743" w:rsidRPr="008E2ED8" w:rsidRDefault="004E7743" w:rsidP="008E2ED8">
      <w:pPr>
        <w:snapToGrid w:val="0"/>
        <w:spacing w:line="200" w:lineRule="atLeast"/>
        <w:ind w:leftChars="200" w:left="556" w:hangingChars="42" w:hanging="76"/>
        <w:jc w:val="both"/>
        <w:rPr>
          <w:rFonts w:ascii="Arial" w:eastAsia="標楷體" w:hAnsi="Arial" w:cs="Arial"/>
          <w:color w:val="000000" w:themeColor="text1"/>
          <w:sz w:val="18"/>
          <w:szCs w:val="18"/>
        </w:rPr>
      </w:pPr>
    </w:p>
    <w:p w14:paraId="499A73C1" w14:textId="77777777" w:rsidR="00C020F7" w:rsidRPr="008E2ED8" w:rsidRDefault="00C020F7" w:rsidP="008E2ED8">
      <w:pPr>
        <w:numPr>
          <w:ilvl w:val="0"/>
          <w:numId w:val="2"/>
        </w:numPr>
        <w:tabs>
          <w:tab w:val="clear" w:pos="1640"/>
        </w:tabs>
        <w:snapToGrid w:val="0"/>
        <w:spacing w:line="200" w:lineRule="atLeast"/>
        <w:ind w:left="480" w:hanging="360"/>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履約價格重設條件：</w:t>
      </w:r>
    </w:p>
    <w:p w14:paraId="455790C6" w14:textId="77777777" w:rsidR="00C020F7" w:rsidRPr="008E2ED8" w:rsidRDefault="00C020F7" w:rsidP="008E2ED8">
      <w:pPr>
        <w:snapToGrid w:val="0"/>
        <w:spacing w:line="200" w:lineRule="atLeast"/>
        <w:ind w:leftChars="200" w:left="556" w:hangingChars="42" w:hanging="76"/>
        <w:jc w:val="both"/>
        <w:rPr>
          <w:rFonts w:ascii="Arial" w:eastAsia="標楷體" w:hAnsi="Arial" w:cs="Arial"/>
          <w:color w:val="000000" w:themeColor="text1"/>
          <w:sz w:val="18"/>
          <w:szCs w:val="18"/>
        </w:rPr>
      </w:pPr>
      <w:r>
        <w:rPr>
          <w:rFonts w:ascii="Arial" w:eastAsia="標楷體" w:hAnsi="Arial" w:cs="Arial" w:hint="eastAsia"/>
          <w:b/>
          <w:color w:val="000000" w:themeColor="text1"/>
          <w:sz w:val="18"/>
          <w:szCs w:val="18"/>
        </w:rPr>
        <w:t xml:space="preserve">    無</w:t>
      </w:r>
    </w:p>
    <w:p w14:paraId="4B59D7B7" w14:textId="77777777" w:rsidR="00821EFB" w:rsidRPr="008E2ED8" w:rsidRDefault="00821EFB" w:rsidP="008E2ED8">
      <w:pPr>
        <w:snapToGrid w:val="0"/>
        <w:spacing w:line="200" w:lineRule="atLeast"/>
        <w:ind w:left="720"/>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 xml:space="preserve"> </w:t>
      </w:r>
    </w:p>
    <w:p w14:paraId="50B574E0" w14:textId="77777777" w:rsidR="00C020F7" w:rsidRPr="008E2ED8" w:rsidRDefault="004E7743" w:rsidP="008E2ED8">
      <w:pPr>
        <w:numPr>
          <w:ilvl w:val="0"/>
          <w:numId w:val="2"/>
        </w:numPr>
        <w:tabs>
          <w:tab w:val="clear" w:pos="1640"/>
        </w:tabs>
        <w:snapToGrid w:val="0"/>
        <w:spacing w:line="200" w:lineRule="atLeast"/>
        <w:ind w:left="480" w:hanging="360"/>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行使比例：</w:t>
      </w:r>
      <w:r w:rsidRPr="008E2ED8">
        <w:rPr>
          <w:rFonts w:ascii="Arial" w:eastAsia="標楷體" w:hAnsi="Arial" w:cs="Arial"/>
          <w:color w:val="000000" w:themeColor="text1"/>
          <w:sz w:val="18"/>
          <w:szCs w:val="18"/>
        </w:rPr>
        <w:t>1</w:t>
      </w:r>
      <w:r w:rsidRPr="008E2ED8">
        <w:rPr>
          <w:rFonts w:ascii="Arial" w:eastAsia="標楷體" w:hAnsi="Arial" w:cs="Arial"/>
          <w:color w:val="000000" w:themeColor="text1"/>
          <w:sz w:val="18"/>
          <w:szCs w:val="18"/>
        </w:rPr>
        <w:t>：</w:t>
      </w:r>
      <w:r>
        <w:rPr>
          <w:rFonts w:ascii="Arial" w:eastAsia="標楷體" w:hAnsi="Arial" w:cs="Arial" w:hint="eastAsia"/>
          <w:b/>
          <w:bCs/>
          <w:color w:val="000000" w:themeColor="text1"/>
          <w:sz w:val="18"/>
          <w:szCs w:val="18"/>
        </w:rPr>
        <w:t>0.02</w:t>
      </w:r>
      <w:r w:rsidRPr="008E2ED8">
        <w:rPr>
          <w:rFonts w:ascii="Arial" w:eastAsia="標楷體" w:hAnsi="Arial" w:cs="Arial"/>
          <w:color w:val="000000" w:themeColor="text1"/>
          <w:sz w:val="18"/>
          <w:szCs w:val="18"/>
        </w:rPr>
        <w:t>；即每單位</w:t>
      </w:r>
      <w:r w:rsidR="0080085B" w:rsidRPr="008E2ED8">
        <w:rPr>
          <w:rFonts w:ascii="Arial" w:eastAsia="標楷體" w:hAnsi="Arial" w:cs="Arial"/>
          <w:color w:val="000000" w:themeColor="text1"/>
          <w:sz w:val="18"/>
          <w:szCs w:val="18"/>
        </w:rPr>
        <w:t>認購權證認購</w:t>
      </w:r>
      <w:r w:rsidRPr="008E2ED8">
        <w:rPr>
          <w:rFonts w:ascii="Arial" w:eastAsia="標楷體" w:hAnsi="Arial" w:cs="Arial"/>
          <w:color w:val="000000" w:themeColor="text1"/>
          <w:sz w:val="18"/>
          <w:szCs w:val="18"/>
        </w:rPr>
        <w:t>標的</w:t>
      </w:r>
      <w:r>
        <w:rPr>
          <w:rFonts w:ascii="Arial" w:eastAsia="標楷體" w:hAnsi="Arial" w:cs="Arial" w:hint="eastAsia"/>
          <w:b/>
          <w:bCs/>
          <w:color w:val="000000" w:themeColor="text1"/>
          <w:sz w:val="18"/>
          <w:szCs w:val="18"/>
        </w:rPr>
        <w:t>0.02</w:t>
      </w:r>
      <w:r>
        <w:rPr>
          <w:rFonts w:ascii="標楷體" w:eastAsia="標楷體" w:hAnsi="標楷體" w:cs="Arial" w:hint="eastAsia"/>
          <w:color w:val="000000" w:themeColor="text1"/>
          <w:sz w:val="18"/>
          <w:szCs w:val="18"/>
        </w:rPr>
        <w:t>股</w:t>
      </w:r>
      <w:r w:rsidRPr="008E2ED8">
        <w:rPr>
          <w:rFonts w:ascii="Arial" w:eastAsia="標楷體" w:hAnsi="Arial" w:cs="Arial"/>
          <w:color w:val="000000" w:themeColor="text1"/>
          <w:sz w:val="18"/>
          <w:szCs w:val="18"/>
        </w:rPr>
        <w:t>。</w:t>
      </w:r>
    </w:p>
    <w:p w14:paraId="5C5196B5" w14:textId="77777777" w:rsidR="00DF36CA" w:rsidRPr="008E2ED8" w:rsidRDefault="004E7743" w:rsidP="008E2ED8">
      <w:pPr>
        <w:numPr>
          <w:ilvl w:val="0"/>
          <w:numId w:val="2"/>
        </w:numPr>
        <w:tabs>
          <w:tab w:val="clear" w:pos="1640"/>
        </w:tabs>
        <w:snapToGrid w:val="0"/>
        <w:spacing w:line="200" w:lineRule="atLeast"/>
        <w:ind w:left="480" w:hanging="360"/>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履約期間：</w:t>
      </w:r>
      <w:r w:rsidR="0080085B" w:rsidRPr="008E2ED8">
        <w:rPr>
          <w:rFonts w:ascii="Arial" w:eastAsia="標楷體" w:hAnsi="Arial" w:cs="Arial"/>
          <w:color w:val="000000" w:themeColor="text1"/>
          <w:sz w:val="18"/>
          <w:szCs w:val="18"/>
        </w:rPr>
        <w:t>自本認購權證掛牌上市日起至到期日止</w:t>
      </w:r>
    </w:p>
    <w:p w14:paraId="410F75B8" w14:textId="6F16D46F" w:rsidR="004E7743" w:rsidRPr="008E2ED8" w:rsidRDefault="004E7743" w:rsidP="008E2ED8">
      <w:pPr>
        <w:numPr>
          <w:ilvl w:val="0"/>
          <w:numId w:val="2"/>
        </w:numPr>
        <w:tabs>
          <w:tab w:val="clear" w:pos="1640"/>
        </w:tabs>
        <w:snapToGrid w:val="0"/>
        <w:spacing w:line="200" w:lineRule="atLeast"/>
        <w:ind w:left="480" w:hanging="360"/>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履約給付方式：</w:t>
      </w:r>
      <w:r>
        <w:rPr>
          <w:rFonts w:ascii="標楷體" w:eastAsia="標楷體" w:cs="標楷體" w:hint="eastAsia"/>
          <w:b/>
          <w:bCs/>
          <w:color w:val="000000" w:themeColor="text1"/>
          <w:sz w:val="18"/>
          <w:szCs w:val="18"/>
        </w:rPr>
        <w:t>證券給付，惟發行人得選擇以現金結算，如到期具履約價值而未申請履約者，發行人將以權證到期日標的證券收盤前六十分鐘內成交價格之簡單算術平均價自動現金結算。(如發行人採現金結算，投資人除到期日外之存續期間申請履約時，以標的證券之收盤價格結算；如到期具履約價值而未申請履約者，發行人將以標的證券收盤前六十分鐘內成交價格之簡單算術平均價自動現金結算。如無成交者則以最近一次成交價格計算。)</w:t>
      </w:r>
    </w:p>
    <w:p w14:paraId="0923F721" w14:textId="77777777" w:rsidR="00C020F7" w:rsidRPr="008E2ED8" w:rsidRDefault="004E7743" w:rsidP="008E2ED8">
      <w:pPr>
        <w:numPr>
          <w:ilvl w:val="0"/>
          <w:numId w:val="2"/>
        </w:numPr>
        <w:tabs>
          <w:tab w:val="clear" w:pos="1640"/>
        </w:tabs>
        <w:snapToGrid w:val="0"/>
        <w:spacing w:line="200" w:lineRule="atLeast"/>
        <w:ind w:left="480" w:hanging="360"/>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本次以</w:t>
      </w:r>
      <w:r>
        <w:rPr>
          <w:rFonts w:ascii="Arial" w:eastAsia="標楷體" w:hAnsi="Arial" w:cs="Arial" w:hint="eastAsia"/>
          <w:color w:val="000000" w:themeColor="text1"/>
          <w:sz w:val="18"/>
          <w:szCs w:val="18"/>
        </w:rPr>
        <w:t>亞翔工程股份有限公司普通股</w:t>
      </w:r>
      <w:r w:rsidRPr="008E2ED8">
        <w:rPr>
          <w:rFonts w:ascii="Arial" w:eastAsia="標楷體" w:hAnsi="Arial" w:cs="Arial"/>
          <w:color w:val="000000" w:themeColor="text1"/>
          <w:sz w:val="18"/>
          <w:szCs w:val="18"/>
        </w:rPr>
        <w:t>為標的發行</w:t>
      </w:r>
      <w:r w:rsidR="0080085B" w:rsidRPr="008E2ED8">
        <w:rPr>
          <w:rFonts w:ascii="Arial" w:eastAsia="標楷體" w:hAnsi="Arial" w:cs="Arial"/>
          <w:bCs/>
          <w:color w:val="000000" w:themeColor="text1"/>
          <w:sz w:val="18"/>
          <w:szCs w:val="18"/>
        </w:rPr>
        <w:t>認購權證</w:t>
      </w:r>
      <w:r w:rsidRPr="008E2ED8">
        <w:rPr>
          <w:rFonts w:ascii="Arial" w:eastAsia="標楷體" w:hAnsi="Arial" w:cs="Arial"/>
          <w:color w:val="000000" w:themeColor="text1"/>
          <w:sz w:val="18"/>
          <w:szCs w:val="18"/>
        </w:rPr>
        <w:t>之原因：</w:t>
      </w:r>
      <w:r>
        <w:rPr>
          <w:rFonts w:ascii="Arial" w:eastAsia="標楷體" w:hAnsi="Arial" w:cs="Arial" w:hint="eastAsia"/>
          <w:color w:val="000000" w:themeColor="text1"/>
          <w:sz w:val="18"/>
          <w:szCs w:val="18"/>
        </w:rPr>
        <w:t>提供投資人股權槓桿工具。</w:t>
      </w:r>
    </w:p>
    <w:p w14:paraId="43CC53F3" w14:textId="77777777" w:rsidR="004E7743" w:rsidRPr="008E2ED8" w:rsidRDefault="004E7743" w:rsidP="008E2ED8">
      <w:pPr>
        <w:numPr>
          <w:ilvl w:val="0"/>
          <w:numId w:val="2"/>
        </w:numPr>
        <w:tabs>
          <w:tab w:val="clear" w:pos="1640"/>
        </w:tabs>
        <w:snapToGrid w:val="0"/>
        <w:spacing w:line="200" w:lineRule="atLeast"/>
        <w:ind w:left="480" w:hanging="360"/>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流動量提供者名稱：國泰綜合證券股份有限公司</w:t>
      </w:r>
    </w:p>
    <w:p w14:paraId="10BD7C81" w14:textId="77777777" w:rsidR="004E7743" w:rsidRPr="008E2ED8" w:rsidRDefault="004E7743" w:rsidP="008E2ED8">
      <w:pPr>
        <w:snapToGrid w:val="0"/>
        <w:spacing w:line="200" w:lineRule="atLeast"/>
        <w:ind w:leftChars="200" w:left="579" w:hangingChars="55" w:hanging="99"/>
        <w:jc w:val="both"/>
        <w:rPr>
          <w:rFonts w:ascii="Arial" w:eastAsia="標楷體" w:hAnsi="Arial" w:cs="Arial"/>
          <w:color w:val="000000" w:themeColor="text1"/>
          <w:sz w:val="18"/>
          <w:szCs w:val="18"/>
        </w:rPr>
      </w:pPr>
      <w:r w:rsidRPr="008E2ED8">
        <w:rPr>
          <w:rFonts w:ascii="Arial" w:eastAsia="標楷體" w:hAnsi="Arial" w:cs="Arial"/>
          <w:b/>
          <w:color w:val="000000" w:themeColor="text1"/>
          <w:sz w:val="18"/>
          <w:szCs w:val="18"/>
        </w:rPr>
        <w:t>流動量提供者報價方式：主動報價。</w:t>
      </w:r>
    </w:p>
    <w:p w14:paraId="505E1191" w14:textId="77777777" w:rsidR="004E7743" w:rsidRPr="008E2ED8" w:rsidRDefault="004E7743" w:rsidP="008E2ED8">
      <w:pPr>
        <w:spacing w:line="200" w:lineRule="atLeast"/>
        <w:ind w:leftChars="200" w:left="1426" w:hangingChars="525" w:hanging="946"/>
        <w:jc w:val="both"/>
        <w:rPr>
          <w:rFonts w:ascii="Arial" w:eastAsia="標楷體" w:hAnsi="Arial" w:cs="Arial"/>
          <w:b/>
          <w:color w:val="000000" w:themeColor="text1"/>
          <w:sz w:val="18"/>
          <w:szCs w:val="18"/>
        </w:rPr>
      </w:pPr>
      <w:r w:rsidRPr="008E2ED8">
        <w:rPr>
          <w:rFonts w:ascii="Arial" w:eastAsia="標楷體" w:hAnsi="Arial" w:cs="Arial"/>
          <w:b/>
          <w:color w:val="000000" w:themeColor="text1"/>
          <w:sz w:val="18"/>
          <w:szCs w:val="18"/>
        </w:rPr>
        <w:t>主動報價：</w:t>
      </w:r>
    </w:p>
    <w:p w14:paraId="43D4C410" w14:textId="77777777" w:rsidR="004E7743" w:rsidRPr="008E2ED8" w:rsidRDefault="001A2FC0" w:rsidP="001A2FC0">
      <w:pPr>
        <w:spacing w:line="200" w:lineRule="atLeast"/>
        <w:ind w:leftChars="225" w:left="720" w:hangingChars="100" w:hanging="180"/>
        <w:jc w:val="both"/>
        <w:rPr>
          <w:rFonts w:ascii="Arial" w:eastAsia="標楷體" w:hAnsi="Arial" w:cs="Arial"/>
          <w:b/>
          <w:color w:val="000000" w:themeColor="text1"/>
          <w:sz w:val="18"/>
          <w:szCs w:val="18"/>
        </w:rPr>
      </w:pPr>
      <w:r>
        <w:rPr>
          <w:rFonts w:ascii="Arial" w:eastAsia="標楷體" w:hAnsi="Arial" w:cs="Arial" w:hint="eastAsia"/>
          <w:color w:val="000000" w:themeColor="text1"/>
          <w:sz w:val="18"/>
          <w:szCs w:val="18"/>
        </w:rPr>
        <w:t>1.</w:t>
      </w:r>
      <w:r w:rsidR="00A63C04" w:rsidRPr="008E2ED8">
        <w:rPr>
          <w:rFonts w:ascii="Arial" w:eastAsia="標楷體" w:hAnsi="Arial" w:cs="Arial"/>
          <w:color w:val="000000" w:themeColor="text1"/>
          <w:sz w:val="18"/>
          <w:szCs w:val="18"/>
        </w:rPr>
        <w:t>流動量提供者將於每隔</w:t>
      </w:r>
      <w:r w:rsidR="00A63C04" w:rsidRPr="008E2ED8">
        <w:rPr>
          <w:rFonts w:ascii="Arial" w:eastAsia="標楷體" w:hAnsi="Arial" w:cs="Arial"/>
          <w:color w:val="000000" w:themeColor="text1"/>
          <w:sz w:val="18"/>
          <w:szCs w:val="18"/>
        </w:rPr>
        <w:t>5</w:t>
      </w:r>
      <w:r w:rsidR="004E7743" w:rsidRPr="008E2ED8">
        <w:rPr>
          <w:rFonts w:ascii="Arial" w:eastAsia="標楷體" w:hAnsi="Arial" w:cs="Arial"/>
          <w:color w:val="000000" w:themeColor="text1"/>
          <w:sz w:val="18"/>
          <w:szCs w:val="18"/>
        </w:rPr>
        <w:t>分鐘內至少報價</w:t>
      </w:r>
      <w:r w:rsidR="00A63C04" w:rsidRPr="008E2ED8">
        <w:rPr>
          <w:rFonts w:ascii="Arial" w:eastAsia="標楷體" w:hAnsi="Arial" w:cs="Arial"/>
          <w:color w:val="000000" w:themeColor="text1"/>
          <w:sz w:val="18"/>
          <w:szCs w:val="18"/>
        </w:rPr>
        <w:t>1</w:t>
      </w:r>
      <w:r w:rsidR="004E7743" w:rsidRPr="008E2ED8">
        <w:rPr>
          <w:rFonts w:ascii="Arial" w:eastAsia="標楷體" w:hAnsi="Arial" w:cs="Arial"/>
          <w:color w:val="000000" w:themeColor="text1"/>
          <w:sz w:val="18"/>
          <w:szCs w:val="18"/>
        </w:rPr>
        <w:t>次，並維持此報價至少</w:t>
      </w:r>
      <w:r w:rsidR="004E7743" w:rsidRPr="008E2ED8">
        <w:rPr>
          <w:rFonts w:ascii="Arial" w:eastAsia="標楷體" w:hAnsi="Arial" w:cs="Arial"/>
          <w:color w:val="000000" w:themeColor="text1"/>
          <w:sz w:val="18"/>
          <w:szCs w:val="18"/>
        </w:rPr>
        <w:t>30</w:t>
      </w:r>
      <w:r w:rsidR="004E7743" w:rsidRPr="008E2ED8">
        <w:rPr>
          <w:rFonts w:ascii="Arial" w:eastAsia="標楷體" w:hAnsi="Arial" w:cs="Arial"/>
          <w:color w:val="000000" w:themeColor="text1"/>
          <w:sz w:val="18"/>
          <w:szCs w:val="18"/>
        </w:rPr>
        <w:t>秒，</w:t>
      </w:r>
      <w:r w:rsidRPr="001A2FC0">
        <w:rPr>
          <w:rFonts w:ascii="Arial" w:eastAsia="標楷體" w:hAnsi="Arial" w:cs="Arial" w:hint="eastAsia"/>
          <w:color w:val="000000" w:themeColor="text1"/>
          <w:sz w:val="18"/>
          <w:szCs w:val="18"/>
        </w:rPr>
        <w:t>但因標的證券委託價量變動而更新報價者</w:t>
      </w:r>
      <w:r w:rsidR="004E7743" w:rsidRPr="008E2ED8">
        <w:rPr>
          <w:rFonts w:ascii="Arial" w:eastAsia="標楷體" w:hAnsi="Arial" w:cs="Arial"/>
          <w:color w:val="000000" w:themeColor="text1"/>
          <w:sz w:val="18"/>
          <w:szCs w:val="18"/>
        </w:rPr>
        <w:t>，則不受應維持</w:t>
      </w:r>
      <w:r w:rsidR="004E7743" w:rsidRPr="008E2ED8">
        <w:rPr>
          <w:rFonts w:ascii="Arial" w:eastAsia="標楷體" w:hAnsi="Arial" w:cs="Arial"/>
          <w:color w:val="000000" w:themeColor="text1"/>
          <w:sz w:val="18"/>
          <w:szCs w:val="18"/>
        </w:rPr>
        <w:t>30</w:t>
      </w:r>
      <w:r w:rsidR="004E7743" w:rsidRPr="008E2ED8">
        <w:rPr>
          <w:rFonts w:ascii="Arial" w:eastAsia="標楷體" w:hAnsi="Arial" w:cs="Arial"/>
          <w:color w:val="000000" w:themeColor="text1"/>
          <w:sz w:val="18"/>
          <w:szCs w:val="18"/>
        </w:rPr>
        <w:t>秒之限制。</w:t>
      </w:r>
    </w:p>
    <w:p w14:paraId="5472723A" w14:textId="77777777" w:rsidR="004E7743" w:rsidRPr="008E2ED8" w:rsidRDefault="001A2FC0" w:rsidP="001A2FC0">
      <w:pPr>
        <w:spacing w:line="200" w:lineRule="atLeast"/>
        <w:ind w:firstLineChars="300" w:firstLine="540"/>
        <w:jc w:val="both"/>
        <w:rPr>
          <w:rFonts w:ascii="Arial" w:eastAsia="標楷體" w:hAnsi="Arial" w:cs="Arial"/>
          <w:b/>
          <w:color w:val="000000" w:themeColor="text1"/>
          <w:sz w:val="18"/>
          <w:szCs w:val="18"/>
        </w:rPr>
      </w:pPr>
      <w:r>
        <w:rPr>
          <w:rFonts w:ascii="Arial" w:eastAsia="標楷體" w:hAnsi="Arial" w:cs="Arial" w:hint="eastAsia"/>
          <w:color w:val="000000" w:themeColor="text1"/>
          <w:sz w:val="18"/>
          <w:szCs w:val="18"/>
        </w:rPr>
        <w:t>2.</w:t>
      </w:r>
      <w:r w:rsidR="004E7743" w:rsidRPr="008E2ED8">
        <w:rPr>
          <w:rFonts w:ascii="Arial" w:eastAsia="標楷體" w:hAnsi="Arial" w:cs="Arial"/>
          <w:color w:val="000000" w:themeColor="text1"/>
          <w:sz w:val="18"/>
          <w:szCs w:val="18"/>
        </w:rPr>
        <w:t>最高申報買進價格與最低申報賣出價格間最大為</w:t>
      </w:r>
      <w:r w:rsidR="004E7743" w:rsidRPr="008E2ED8">
        <w:rPr>
          <w:rFonts w:ascii="Arial" w:eastAsia="標楷體" w:hAnsi="Arial" w:cs="Arial"/>
          <w:color w:val="000000" w:themeColor="text1"/>
          <w:sz w:val="18"/>
          <w:szCs w:val="18"/>
        </w:rPr>
        <w:t>1</w:t>
      </w:r>
      <w:r w:rsidR="00D02E2B" w:rsidRPr="008E2ED8">
        <w:rPr>
          <w:rFonts w:ascii="Arial" w:eastAsia="標楷體" w:hAnsi="Arial" w:cs="Arial"/>
          <w:color w:val="000000" w:themeColor="text1"/>
          <w:sz w:val="18"/>
          <w:szCs w:val="18"/>
        </w:rPr>
        <w:t>0</w:t>
      </w:r>
      <w:r w:rsidR="004E7743" w:rsidRPr="008E2ED8">
        <w:rPr>
          <w:rFonts w:ascii="Arial" w:eastAsia="標楷體" w:hAnsi="Arial" w:cs="Arial"/>
          <w:color w:val="000000" w:themeColor="text1"/>
          <w:sz w:val="18"/>
          <w:szCs w:val="18"/>
        </w:rPr>
        <w:t>個升降單位。</w:t>
      </w:r>
    </w:p>
    <w:p w14:paraId="459501CC" w14:textId="77777777" w:rsidR="00DD29C8" w:rsidRPr="008E2ED8" w:rsidRDefault="001A2FC0" w:rsidP="001A2FC0">
      <w:pPr>
        <w:spacing w:line="200" w:lineRule="atLeast"/>
        <w:ind w:leftChars="225" w:left="720" w:hangingChars="100" w:hanging="180"/>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3.</w:t>
      </w:r>
      <w:r w:rsidR="00DD29C8" w:rsidRPr="008E2ED8">
        <w:rPr>
          <w:rFonts w:ascii="Arial" w:eastAsia="標楷體" w:hAnsi="Arial" w:cs="Arial"/>
          <w:color w:val="000000" w:themeColor="text1"/>
          <w:sz w:val="18"/>
          <w:szCs w:val="18"/>
        </w:rPr>
        <w:t>權證每筆買進報價不得低於一百交易單位或總金額應達壹拾萬元以上。但有下列各情事之一者，得不受其限制，惟不</w:t>
      </w:r>
      <w:r w:rsidR="00DD29C8" w:rsidRPr="008E2ED8">
        <w:rPr>
          <w:rFonts w:ascii="Arial" w:eastAsia="標楷體" w:hAnsi="Arial" w:cs="Arial"/>
          <w:color w:val="000000" w:themeColor="text1"/>
          <w:sz w:val="18"/>
          <w:szCs w:val="18"/>
          <w:lang w:val="zh-TW"/>
        </w:rPr>
        <w:t>得</w:t>
      </w:r>
      <w:r w:rsidR="00DD29C8" w:rsidRPr="008E2ED8">
        <w:rPr>
          <w:rFonts w:ascii="Arial" w:eastAsia="標楷體" w:hAnsi="Arial" w:cs="Arial"/>
          <w:color w:val="000000" w:themeColor="text1"/>
          <w:sz w:val="18"/>
          <w:szCs w:val="18"/>
        </w:rPr>
        <w:t>低於十交易單位：</w:t>
      </w:r>
    </w:p>
    <w:p w14:paraId="0072CA14" w14:textId="77777777" w:rsidR="00DD29C8" w:rsidRPr="008E2ED8" w:rsidRDefault="00DD29C8" w:rsidP="008E2ED8">
      <w:pPr>
        <w:spacing w:line="200" w:lineRule="atLeast"/>
        <w:ind w:leftChars="300" w:left="1512" w:hangingChars="440" w:hanging="792"/>
        <w:jc w:val="both"/>
        <w:rPr>
          <w:rFonts w:ascii="Arial" w:eastAsia="標楷體" w:hAnsi="Arial" w:cs="Arial"/>
          <w:color w:val="000000" w:themeColor="text1"/>
          <w:sz w:val="18"/>
          <w:szCs w:val="18"/>
          <w:lang w:val="zh-TW"/>
        </w:rPr>
      </w:pPr>
      <w:r w:rsidRPr="008E2ED8">
        <w:rPr>
          <w:rFonts w:ascii="Arial" w:eastAsia="標楷體" w:hAnsi="Arial" w:cs="Arial"/>
          <w:color w:val="000000" w:themeColor="text1"/>
          <w:sz w:val="18"/>
          <w:szCs w:val="18"/>
        </w:rPr>
        <w:t>(1)</w:t>
      </w:r>
      <w:r w:rsidRPr="008E2ED8">
        <w:rPr>
          <w:rFonts w:ascii="Arial" w:eastAsia="標楷體" w:hAnsi="Arial" w:cs="Arial"/>
          <w:color w:val="000000" w:themeColor="text1"/>
          <w:sz w:val="18"/>
          <w:szCs w:val="18"/>
          <w:lang w:val="zh-TW"/>
        </w:rPr>
        <w:t>現股流動性不足時。</w:t>
      </w:r>
    </w:p>
    <w:p w14:paraId="4EBF0202" w14:textId="77777777" w:rsidR="00DD29C8" w:rsidRPr="008E2ED8" w:rsidRDefault="00DD29C8" w:rsidP="008E2ED8">
      <w:pPr>
        <w:spacing w:line="200" w:lineRule="atLeast"/>
        <w:ind w:leftChars="300" w:left="1512" w:hangingChars="440" w:hanging="792"/>
        <w:jc w:val="both"/>
        <w:rPr>
          <w:rFonts w:ascii="Arial" w:eastAsia="標楷體" w:hAnsi="Arial" w:cs="Arial"/>
          <w:color w:val="000000" w:themeColor="text1"/>
          <w:sz w:val="18"/>
          <w:szCs w:val="18"/>
          <w:lang w:val="zh-TW"/>
        </w:rPr>
      </w:pPr>
      <w:r w:rsidRPr="008E2ED8">
        <w:rPr>
          <w:rFonts w:ascii="Arial" w:eastAsia="標楷體" w:hAnsi="Arial" w:cs="Arial"/>
          <w:color w:val="000000" w:themeColor="text1"/>
          <w:sz w:val="18"/>
          <w:szCs w:val="18"/>
          <w:lang w:val="zh-TW"/>
        </w:rPr>
        <w:t>(2)</w:t>
      </w:r>
      <w:r w:rsidRPr="008E2ED8">
        <w:rPr>
          <w:rFonts w:ascii="Arial" w:eastAsia="標楷體" w:hAnsi="Arial" w:cs="Arial"/>
          <w:color w:val="000000" w:themeColor="text1"/>
          <w:sz w:val="18"/>
          <w:szCs w:val="18"/>
          <w:lang w:val="zh-TW"/>
        </w:rPr>
        <w:t>標的證券為處置股票時。</w:t>
      </w:r>
    </w:p>
    <w:p w14:paraId="10BCEF08" w14:textId="77777777" w:rsidR="00DD29C8" w:rsidRPr="008E2ED8" w:rsidRDefault="00DD29C8" w:rsidP="008E2ED8">
      <w:pPr>
        <w:spacing w:line="200" w:lineRule="atLeast"/>
        <w:ind w:leftChars="300" w:left="1512" w:hangingChars="440" w:hanging="792"/>
        <w:jc w:val="both"/>
        <w:rPr>
          <w:rFonts w:ascii="Arial" w:eastAsia="標楷體" w:hAnsi="Arial" w:cs="Arial"/>
          <w:color w:val="000000" w:themeColor="text1"/>
          <w:sz w:val="18"/>
          <w:szCs w:val="18"/>
          <w:lang w:val="zh-TW"/>
        </w:rPr>
      </w:pPr>
      <w:r w:rsidRPr="008E2ED8">
        <w:rPr>
          <w:rFonts w:ascii="Arial" w:eastAsia="標楷體" w:hAnsi="Arial" w:cs="Arial"/>
          <w:color w:val="000000" w:themeColor="text1"/>
          <w:sz w:val="18"/>
          <w:szCs w:val="18"/>
          <w:lang w:val="zh-TW"/>
        </w:rPr>
        <w:t>(3)</w:t>
      </w:r>
      <w:r w:rsidRPr="008E2ED8">
        <w:rPr>
          <w:rFonts w:ascii="Arial" w:eastAsia="標楷體" w:hAnsi="Arial" w:cs="Arial"/>
          <w:color w:val="000000" w:themeColor="text1"/>
          <w:sz w:val="18"/>
          <w:szCs w:val="18"/>
          <w:lang w:val="zh-TW"/>
        </w:rPr>
        <w:t>開盤後五分鐘至十五分鐘及收盤前五分鐘。</w:t>
      </w:r>
    </w:p>
    <w:p w14:paraId="3B2ABEDA" w14:textId="77777777" w:rsidR="00DD29C8" w:rsidRDefault="00DD29C8" w:rsidP="001A2FC0">
      <w:pPr>
        <w:spacing w:line="200" w:lineRule="atLeast"/>
        <w:ind w:firstLineChars="300" w:firstLine="540"/>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lang w:val="zh-TW"/>
        </w:rPr>
        <w:t>4.</w:t>
      </w:r>
      <w:r w:rsidRPr="008E2ED8">
        <w:rPr>
          <w:rFonts w:ascii="Arial" w:eastAsia="標楷體" w:hAnsi="Arial" w:cs="Arial"/>
          <w:color w:val="000000" w:themeColor="text1"/>
          <w:sz w:val="18"/>
          <w:szCs w:val="18"/>
        </w:rPr>
        <w:t>權證每筆賣出報價不得低於十交易單位。</w:t>
      </w:r>
    </w:p>
    <w:p w14:paraId="71E88CD4" w14:textId="77777777" w:rsidR="002E0EDB" w:rsidRDefault="00F8040C" w:rsidP="002E0EDB">
      <w:pPr>
        <w:spacing w:line="200" w:lineRule="atLeast"/>
        <w:ind w:firstLineChars="300" w:firstLine="540"/>
        <w:rPr>
          <w:rFonts w:ascii="Arial" w:eastAsia="標楷體" w:hAnsi="Arial" w:cs="Arial"/>
          <w:color w:val="000000" w:themeColor="text1"/>
          <w:sz w:val="18"/>
          <w:szCs w:val="18"/>
        </w:rPr>
      </w:pPr>
      <w:r w:rsidRPr="00F8040C">
        <w:rPr>
          <w:rFonts w:ascii="Arial" w:eastAsia="標楷體" w:hAnsi="Arial" w:cs="Arial" w:hint="eastAsia"/>
          <w:color w:val="000000" w:themeColor="text1"/>
          <w:sz w:val="18"/>
          <w:szCs w:val="18"/>
        </w:rPr>
        <w:t>5.</w:t>
      </w:r>
      <w:r w:rsidRPr="00F8040C">
        <w:rPr>
          <w:rFonts w:ascii="Arial" w:eastAsia="標楷體" w:hAnsi="Arial" w:cs="Arial" w:hint="eastAsia"/>
          <w:color w:val="000000" w:themeColor="text1"/>
          <w:sz w:val="18"/>
          <w:szCs w:val="18"/>
        </w:rPr>
        <w:t>現股流動性不足之定義為</w:t>
      </w:r>
      <w:r w:rsidR="002E0EDB" w:rsidRPr="002E0EDB">
        <w:rPr>
          <w:rFonts w:ascii="Arial" w:eastAsia="標楷體" w:hAnsi="Arial" w:cs="Arial" w:hint="eastAsia"/>
          <w:color w:val="000000" w:themeColor="text1"/>
          <w:sz w:val="18"/>
          <w:szCs w:val="18"/>
        </w:rPr>
        <w:t>本檔權證買進報價之每一百交易單位×行使比例高於標的證券委買或委賣張數之百分之五十時。</w:t>
      </w:r>
    </w:p>
    <w:p w14:paraId="016FA6D7" w14:textId="77777777" w:rsidR="00E24342" w:rsidRPr="00E24342" w:rsidRDefault="00E24342" w:rsidP="002E0EDB">
      <w:pPr>
        <w:spacing w:line="200" w:lineRule="atLeast"/>
        <w:ind w:firstLineChars="300" w:firstLine="540"/>
        <w:rPr>
          <w:rFonts w:ascii="Arial" w:eastAsia="標楷體" w:hAnsi="Arial" w:cs="Arial"/>
          <w:color w:val="000000" w:themeColor="text1"/>
          <w:sz w:val="18"/>
          <w:szCs w:val="18"/>
        </w:rPr>
      </w:pPr>
      <w:r w:rsidRPr="00E24342">
        <w:rPr>
          <w:rFonts w:ascii="Arial" w:eastAsia="標楷體" w:hAnsi="Arial" w:cs="Arial" w:hint="eastAsia"/>
          <w:color w:val="000000" w:themeColor="text1"/>
          <w:sz w:val="18"/>
          <w:szCs w:val="18"/>
        </w:rPr>
        <w:t>6.</w:t>
      </w:r>
      <w:r w:rsidRPr="00E24342">
        <w:rPr>
          <w:rFonts w:ascii="Arial" w:eastAsia="標楷體" w:hAnsi="Arial" w:cs="Arial" w:hint="eastAsia"/>
          <w:color w:val="000000" w:themeColor="text1"/>
          <w:sz w:val="18"/>
          <w:szCs w:val="18"/>
        </w:rPr>
        <w:t>權證日內最佳委買報價波動率之調降不得超過</w:t>
      </w:r>
      <w:r w:rsidRPr="00E24342">
        <w:rPr>
          <w:rFonts w:ascii="Arial" w:eastAsia="標楷體" w:hAnsi="Arial" w:cs="Arial" w:hint="eastAsia"/>
          <w:color w:val="000000" w:themeColor="text1"/>
          <w:sz w:val="18"/>
          <w:szCs w:val="18"/>
        </w:rPr>
        <w:t>1%</w:t>
      </w:r>
      <w:r w:rsidRPr="00E24342">
        <w:rPr>
          <w:rFonts w:ascii="Arial" w:eastAsia="標楷體" w:hAnsi="Arial" w:cs="Arial" w:hint="eastAsia"/>
          <w:color w:val="000000" w:themeColor="text1"/>
          <w:sz w:val="18"/>
          <w:szCs w:val="18"/>
        </w:rPr>
        <w:t>，但有下列各情事之一者，得不受其限制。</w:t>
      </w:r>
    </w:p>
    <w:p w14:paraId="33604978" w14:textId="77777777" w:rsidR="00E24342" w:rsidRPr="00E24342" w:rsidRDefault="00E24342" w:rsidP="00E24342">
      <w:pPr>
        <w:snapToGrid w:val="0"/>
        <w:spacing w:line="200" w:lineRule="atLeast"/>
        <w:ind w:leftChars="201" w:left="482" w:firstLineChars="100" w:firstLine="180"/>
        <w:jc w:val="both"/>
        <w:rPr>
          <w:rFonts w:ascii="Arial" w:eastAsia="標楷體" w:hAnsi="Arial" w:cs="Arial"/>
          <w:color w:val="000000" w:themeColor="text1"/>
          <w:sz w:val="18"/>
          <w:szCs w:val="18"/>
        </w:rPr>
      </w:pPr>
      <w:r w:rsidRPr="00E24342">
        <w:rPr>
          <w:rFonts w:ascii="Arial" w:eastAsia="標楷體" w:hAnsi="Arial" w:cs="Arial" w:hint="eastAsia"/>
          <w:color w:val="000000" w:themeColor="text1"/>
          <w:sz w:val="18"/>
          <w:szCs w:val="18"/>
        </w:rPr>
        <w:t>(1)</w:t>
      </w:r>
      <w:r w:rsidRPr="00E24342">
        <w:rPr>
          <w:rFonts w:ascii="Arial" w:eastAsia="標楷體" w:hAnsi="Arial" w:cs="Arial" w:hint="eastAsia"/>
          <w:color w:val="000000" w:themeColor="text1"/>
          <w:sz w:val="18"/>
          <w:szCs w:val="18"/>
        </w:rPr>
        <w:t>權證價內程度超過</w:t>
      </w:r>
      <w:r w:rsidRPr="00E24342">
        <w:rPr>
          <w:rFonts w:ascii="Arial" w:eastAsia="標楷體" w:hAnsi="Arial" w:cs="Arial" w:hint="eastAsia"/>
          <w:color w:val="000000" w:themeColor="text1"/>
          <w:sz w:val="18"/>
          <w:szCs w:val="18"/>
        </w:rPr>
        <w:t>25%</w:t>
      </w:r>
      <w:r w:rsidRPr="00E24342">
        <w:rPr>
          <w:rFonts w:ascii="Arial" w:eastAsia="標楷體" w:hAnsi="Arial" w:cs="Arial" w:hint="eastAsia"/>
          <w:color w:val="000000" w:themeColor="text1"/>
          <w:sz w:val="18"/>
          <w:szCs w:val="18"/>
        </w:rPr>
        <w:t>，及價外程度超過</w:t>
      </w:r>
      <w:r w:rsidRPr="00E24342">
        <w:rPr>
          <w:rFonts w:ascii="Arial" w:eastAsia="標楷體" w:hAnsi="Arial" w:cs="Arial" w:hint="eastAsia"/>
          <w:color w:val="000000" w:themeColor="text1"/>
          <w:sz w:val="18"/>
          <w:szCs w:val="18"/>
        </w:rPr>
        <w:t>25%</w:t>
      </w:r>
      <w:r w:rsidRPr="00E24342">
        <w:rPr>
          <w:rFonts w:ascii="Arial" w:eastAsia="標楷體" w:hAnsi="Arial" w:cs="Arial" w:hint="eastAsia"/>
          <w:color w:val="000000" w:themeColor="text1"/>
          <w:sz w:val="18"/>
          <w:szCs w:val="18"/>
        </w:rPr>
        <w:t>且最佳一檔委託買進價格小於</w:t>
      </w:r>
      <w:r w:rsidRPr="00E24342">
        <w:rPr>
          <w:rFonts w:ascii="Arial" w:eastAsia="標楷體" w:hAnsi="Arial" w:cs="Arial" w:hint="eastAsia"/>
          <w:color w:val="000000" w:themeColor="text1"/>
          <w:sz w:val="18"/>
          <w:szCs w:val="18"/>
        </w:rPr>
        <w:t xml:space="preserve">0.6 </w:t>
      </w:r>
      <w:r w:rsidRPr="00E24342">
        <w:rPr>
          <w:rFonts w:ascii="Arial" w:eastAsia="標楷體" w:hAnsi="Arial" w:cs="Arial" w:hint="eastAsia"/>
          <w:color w:val="000000" w:themeColor="text1"/>
          <w:sz w:val="18"/>
          <w:szCs w:val="18"/>
        </w:rPr>
        <w:t>元者</w:t>
      </w:r>
      <w:r w:rsidRPr="00E24342">
        <w:rPr>
          <w:rFonts w:ascii="Arial" w:eastAsia="標楷體" w:hAnsi="Arial" w:cs="Arial" w:hint="eastAsia"/>
          <w:color w:val="000000" w:themeColor="text1"/>
          <w:sz w:val="18"/>
          <w:szCs w:val="18"/>
        </w:rPr>
        <w:t xml:space="preserve"> </w:t>
      </w:r>
    </w:p>
    <w:p w14:paraId="0FEF3F63" w14:textId="77777777" w:rsidR="00E24342" w:rsidRPr="00E24342" w:rsidRDefault="00E24342" w:rsidP="00E24342">
      <w:pPr>
        <w:snapToGrid w:val="0"/>
        <w:spacing w:line="200" w:lineRule="atLeast"/>
        <w:ind w:leftChars="201" w:left="482" w:firstLineChars="100" w:firstLine="180"/>
        <w:jc w:val="both"/>
        <w:rPr>
          <w:rFonts w:ascii="Arial" w:eastAsia="標楷體" w:hAnsi="Arial" w:cs="Arial"/>
          <w:color w:val="000000" w:themeColor="text1"/>
          <w:sz w:val="18"/>
          <w:szCs w:val="18"/>
        </w:rPr>
      </w:pPr>
      <w:r w:rsidRPr="00E24342">
        <w:rPr>
          <w:rFonts w:ascii="Arial" w:eastAsia="標楷體" w:hAnsi="Arial" w:cs="Arial" w:hint="eastAsia"/>
          <w:color w:val="000000" w:themeColor="text1"/>
          <w:sz w:val="18"/>
          <w:szCs w:val="18"/>
        </w:rPr>
        <w:t>(2)</w:t>
      </w:r>
      <w:r w:rsidRPr="00E24342">
        <w:rPr>
          <w:rFonts w:ascii="Arial" w:eastAsia="標楷體" w:hAnsi="Arial" w:cs="Arial" w:hint="eastAsia"/>
          <w:color w:val="000000" w:themeColor="text1"/>
          <w:sz w:val="18"/>
          <w:szCs w:val="18"/>
        </w:rPr>
        <w:t>權證距到期日小於</w:t>
      </w:r>
      <w:r w:rsidRPr="00E24342">
        <w:rPr>
          <w:rFonts w:ascii="Arial" w:eastAsia="標楷體" w:hAnsi="Arial" w:cs="Arial" w:hint="eastAsia"/>
          <w:color w:val="000000" w:themeColor="text1"/>
          <w:sz w:val="18"/>
          <w:szCs w:val="18"/>
        </w:rPr>
        <w:t>15</w:t>
      </w:r>
      <w:r w:rsidRPr="00E24342">
        <w:rPr>
          <w:rFonts w:ascii="Arial" w:eastAsia="標楷體" w:hAnsi="Arial" w:cs="Arial" w:hint="eastAsia"/>
          <w:color w:val="000000" w:themeColor="text1"/>
          <w:sz w:val="18"/>
          <w:szCs w:val="18"/>
        </w:rPr>
        <w:t>個營業日者。</w:t>
      </w:r>
      <w:r w:rsidRPr="00E24342">
        <w:rPr>
          <w:rFonts w:ascii="Arial" w:eastAsia="標楷體" w:hAnsi="Arial" w:cs="Arial" w:hint="eastAsia"/>
          <w:color w:val="000000" w:themeColor="text1"/>
          <w:sz w:val="18"/>
          <w:szCs w:val="18"/>
        </w:rPr>
        <w:t xml:space="preserve"> </w:t>
      </w:r>
    </w:p>
    <w:p w14:paraId="685F802F" w14:textId="77777777" w:rsidR="00E24342" w:rsidRPr="00E24342" w:rsidRDefault="00E24342" w:rsidP="00E24342">
      <w:pPr>
        <w:snapToGrid w:val="0"/>
        <w:spacing w:line="200" w:lineRule="atLeast"/>
        <w:ind w:leftChars="201" w:left="482" w:firstLineChars="100" w:firstLine="180"/>
        <w:jc w:val="both"/>
        <w:rPr>
          <w:rFonts w:ascii="Arial" w:eastAsia="標楷體" w:hAnsi="Arial" w:cs="Arial"/>
          <w:color w:val="000000" w:themeColor="text1"/>
          <w:sz w:val="18"/>
          <w:szCs w:val="18"/>
        </w:rPr>
      </w:pPr>
      <w:r w:rsidRPr="00E24342">
        <w:rPr>
          <w:rFonts w:ascii="Arial" w:eastAsia="標楷體" w:hAnsi="Arial" w:cs="Arial" w:hint="eastAsia"/>
          <w:color w:val="000000" w:themeColor="text1"/>
          <w:sz w:val="18"/>
          <w:szCs w:val="18"/>
        </w:rPr>
        <w:t>(3)</w:t>
      </w:r>
      <w:r w:rsidRPr="00E24342">
        <w:rPr>
          <w:rFonts w:ascii="Arial" w:eastAsia="標楷體" w:hAnsi="Arial" w:cs="Arial" w:hint="eastAsia"/>
          <w:color w:val="000000" w:themeColor="text1"/>
          <w:sz w:val="18"/>
          <w:szCs w:val="18"/>
        </w:rPr>
        <w:t>權證符合不報價時機者。</w:t>
      </w:r>
      <w:r w:rsidRPr="00E24342">
        <w:rPr>
          <w:rFonts w:ascii="Arial" w:eastAsia="標楷體" w:hAnsi="Arial" w:cs="Arial" w:hint="eastAsia"/>
          <w:color w:val="000000" w:themeColor="text1"/>
          <w:sz w:val="18"/>
          <w:szCs w:val="18"/>
        </w:rPr>
        <w:t xml:space="preserve"> </w:t>
      </w:r>
    </w:p>
    <w:p w14:paraId="32C56AA5" w14:textId="77777777" w:rsidR="00E24342" w:rsidRPr="00E24342" w:rsidRDefault="00E24342" w:rsidP="00E24342">
      <w:pPr>
        <w:snapToGrid w:val="0"/>
        <w:spacing w:line="200" w:lineRule="atLeast"/>
        <w:ind w:leftChars="201" w:left="482" w:firstLineChars="100" w:firstLine="180"/>
        <w:jc w:val="both"/>
        <w:rPr>
          <w:rFonts w:ascii="Arial" w:eastAsia="標楷體" w:hAnsi="Arial" w:cs="Arial"/>
          <w:color w:val="000000" w:themeColor="text1"/>
          <w:sz w:val="18"/>
          <w:szCs w:val="18"/>
        </w:rPr>
      </w:pPr>
      <w:r w:rsidRPr="00E24342">
        <w:rPr>
          <w:rFonts w:ascii="Arial" w:eastAsia="標楷體" w:hAnsi="Arial" w:cs="Arial" w:hint="eastAsia"/>
          <w:color w:val="000000" w:themeColor="text1"/>
          <w:sz w:val="18"/>
          <w:szCs w:val="18"/>
        </w:rPr>
        <w:t>(4)</w:t>
      </w:r>
      <w:r w:rsidRPr="00E24342">
        <w:rPr>
          <w:rFonts w:ascii="Arial" w:eastAsia="標楷體" w:hAnsi="Arial" w:cs="Arial" w:hint="eastAsia"/>
          <w:color w:val="000000" w:themeColor="text1"/>
          <w:sz w:val="18"/>
          <w:szCs w:val="18"/>
        </w:rPr>
        <w:t>權證價格變動</w:t>
      </w:r>
      <w:r w:rsidRPr="00E24342">
        <w:rPr>
          <w:rFonts w:ascii="Arial" w:eastAsia="標楷體" w:hAnsi="Arial" w:cs="Arial" w:hint="eastAsia"/>
          <w:color w:val="000000" w:themeColor="text1"/>
          <w:sz w:val="18"/>
          <w:szCs w:val="18"/>
        </w:rPr>
        <w:t>1</w:t>
      </w:r>
      <w:r w:rsidRPr="00E24342">
        <w:rPr>
          <w:rFonts w:ascii="Arial" w:eastAsia="標楷體" w:hAnsi="Arial" w:cs="Arial" w:hint="eastAsia"/>
          <w:color w:val="000000" w:themeColor="text1"/>
          <w:sz w:val="18"/>
          <w:szCs w:val="18"/>
        </w:rPr>
        <w:t>個升降單位造成報價波動率差異超過</w:t>
      </w:r>
      <w:r w:rsidRPr="00E24342">
        <w:rPr>
          <w:rFonts w:ascii="Arial" w:eastAsia="標楷體" w:hAnsi="Arial" w:cs="Arial" w:hint="eastAsia"/>
          <w:color w:val="000000" w:themeColor="text1"/>
          <w:sz w:val="18"/>
          <w:szCs w:val="18"/>
        </w:rPr>
        <w:t>0.5%</w:t>
      </w:r>
      <w:r w:rsidRPr="00E24342">
        <w:rPr>
          <w:rFonts w:ascii="Arial" w:eastAsia="標楷體" w:hAnsi="Arial" w:cs="Arial" w:hint="eastAsia"/>
          <w:color w:val="000000" w:themeColor="text1"/>
          <w:sz w:val="18"/>
          <w:szCs w:val="18"/>
        </w:rPr>
        <w:t>者。</w:t>
      </w:r>
      <w:r w:rsidRPr="00E24342">
        <w:rPr>
          <w:rFonts w:ascii="Arial" w:eastAsia="標楷體" w:hAnsi="Arial" w:cs="Arial" w:hint="eastAsia"/>
          <w:color w:val="000000" w:themeColor="text1"/>
          <w:sz w:val="18"/>
          <w:szCs w:val="18"/>
        </w:rPr>
        <w:t xml:space="preserve"> </w:t>
      </w:r>
    </w:p>
    <w:p w14:paraId="5A991CBF" w14:textId="77777777" w:rsidR="00E24342" w:rsidRPr="00E24342" w:rsidRDefault="00E24342" w:rsidP="00E24342">
      <w:pPr>
        <w:snapToGrid w:val="0"/>
        <w:spacing w:line="200" w:lineRule="atLeast"/>
        <w:ind w:leftChars="201" w:left="482" w:firstLineChars="100" w:firstLine="180"/>
        <w:jc w:val="both"/>
        <w:rPr>
          <w:rFonts w:ascii="Arial" w:eastAsia="標楷體" w:hAnsi="Arial" w:cs="Arial"/>
          <w:color w:val="000000" w:themeColor="text1"/>
          <w:sz w:val="18"/>
          <w:szCs w:val="18"/>
        </w:rPr>
      </w:pPr>
      <w:r w:rsidRPr="00E24342">
        <w:rPr>
          <w:rFonts w:ascii="Arial" w:eastAsia="標楷體" w:hAnsi="Arial" w:cs="Arial" w:hint="eastAsia"/>
          <w:color w:val="000000" w:themeColor="text1"/>
          <w:sz w:val="18"/>
          <w:szCs w:val="18"/>
        </w:rPr>
        <w:t>(5)</w:t>
      </w:r>
      <w:r w:rsidRPr="00E24342">
        <w:rPr>
          <w:rFonts w:ascii="Arial" w:eastAsia="標楷體" w:hAnsi="Arial" w:cs="Arial" w:hint="eastAsia"/>
          <w:color w:val="000000" w:themeColor="text1"/>
          <w:sz w:val="18"/>
          <w:szCs w:val="18"/>
        </w:rPr>
        <w:t>權證委買報價理論價格因小數點進位而造成波動率差異問題者。</w:t>
      </w:r>
    </w:p>
    <w:p w14:paraId="3EF0BF4D" w14:textId="77777777" w:rsidR="00E24342" w:rsidRPr="00E24342" w:rsidRDefault="00E24342" w:rsidP="00E24342">
      <w:pPr>
        <w:snapToGrid w:val="0"/>
        <w:spacing w:line="200" w:lineRule="atLeast"/>
        <w:ind w:leftChars="201" w:left="482" w:firstLineChars="100" w:firstLine="180"/>
        <w:jc w:val="both"/>
        <w:rPr>
          <w:rFonts w:ascii="Arial" w:eastAsia="標楷體" w:hAnsi="Arial" w:cs="Arial"/>
          <w:color w:val="000000" w:themeColor="text1"/>
          <w:sz w:val="18"/>
          <w:szCs w:val="18"/>
        </w:rPr>
      </w:pPr>
      <w:r w:rsidRPr="00E24342">
        <w:rPr>
          <w:rFonts w:ascii="Arial" w:eastAsia="標楷體" w:hAnsi="Arial" w:cs="Arial" w:hint="eastAsia"/>
          <w:color w:val="000000" w:themeColor="text1"/>
          <w:sz w:val="18"/>
          <w:szCs w:val="18"/>
        </w:rPr>
        <w:t>(6)</w:t>
      </w:r>
      <w:r w:rsidRPr="00E24342">
        <w:rPr>
          <w:rFonts w:ascii="Arial" w:eastAsia="標楷體" w:hAnsi="Arial" w:cs="Arial" w:hint="eastAsia"/>
          <w:color w:val="000000" w:themeColor="text1"/>
          <w:sz w:val="18"/>
          <w:szCs w:val="18"/>
        </w:rPr>
        <w:t>前一日收盤無流通在外之權證</w:t>
      </w:r>
    </w:p>
    <w:p w14:paraId="34E7C6BD" w14:textId="77777777" w:rsidR="004E7743" w:rsidRPr="008E2ED8" w:rsidRDefault="004E7743" w:rsidP="00C650EC">
      <w:pPr>
        <w:spacing w:line="200" w:lineRule="exact"/>
        <w:ind w:leftChars="200" w:left="660" w:hangingChars="100" w:hanging="180"/>
        <w:rPr>
          <w:rFonts w:ascii="Arial" w:eastAsia="標楷體" w:hAnsi="Arial" w:cs="Arial"/>
          <w:b/>
          <w:color w:val="000000" w:themeColor="text1"/>
          <w:sz w:val="18"/>
          <w:szCs w:val="18"/>
        </w:rPr>
      </w:pPr>
      <w:r w:rsidRPr="008E2ED8">
        <w:rPr>
          <w:rFonts w:ascii="Arial" w:eastAsia="標楷體" w:hAnsi="Arial" w:cs="Arial"/>
          <w:b/>
          <w:color w:val="000000" w:themeColor="text1"/>
          <w:sz w:val="18"/>
          <w:szCs w:val="18"/>
        </w:rPr>
        <w:t>不提供報價之時機</w:t>
      </w:r>
    </w:p>
    <w:p w14:paraId="3AC00B5D" w14:textId="77777777" w:rsidR="004E7743" w:rsidRPr="008E2ED8" w:rsidRDefault="0084393A" w:rsidP="008E2ED8">
      <w:pPr>
        <w:spacing w:line="200" w:lineRule="atLeast"/>
        <w:ind w:left="600"/>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1.</w:t>
      </w:r>
      <w:r w:rsidR="00BB166B" w:rsidRPr="008E2ED8">
        <w:rPr>
          <w:rFonts w:ascii="Arial" w:eastAsia="標楷體" w:hAnsi="Arial" w:cs="Arial"/>
          <w:color w:val="000000" w:themeColor="text1"/>
          <w:sz w:val="18"/>
          <w:szCs w:val="18"/>
        </w:rPr>
        <w:t>集中交易市場開盤後</w:t>
      </w:r>
      <w:r w:rsidR="00BB166B" w:rsidRPr="008E2ED8">
        <w:rPr>
          <w:rFonts w:ascii="Arial" w:eastAsia="標楷體" w:hAnsi="Arial" w:cs="Arial"/>
          <w:color w:val="000000" w:themeColor="text1"/>
          <w:sz w:val="18"/>
          <w:szCs w:val="18"/>
        </w:rPr>
        <w:t>5</w:t>
      </w:r>
      <w:r w:rsidR="004E7743" w:rsidRPr="008E2ED8">
        <w:rPr>
          <w:rFonts w:ascii="Arial" w:eastAsia="標楷體" w:hAnsi="Arial" w:cs="Arial"/>
          <w:color w:val="000000" w:themeColor="text1"/>
          <w:sz w:val="18"/>
          <w:szCs w:val="18"/>
        </w:rPr>
        <w:t>分鐘內。</w:t>
      </w:r>
    </w:p>
    <w:p w14:paraId="7480CC4B" w14:textId="77777777" w:rsidR="004E7743" w:rsidRPr="008E2ED8" w:rsidRDefault="0084393A" w:rsidP="008E2ED8">
      <w:pPr>
        <w:spacing w:line="200" w:lineRule="atLeast"/>
        <w:ind w:left="600"/>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2.</w:t>
      </w:r>
      <w:r w:rsidR="004E7743" w:rsidRPr="008E2ED8">
        <w:rPr>
          <w:rFonts w:ascii="Arial" w:eastAsia="標楷體" w:hAnsi="Arial" w:cs="Arial"/>
          <w:color w:val="000000" w:themeColor="text1"/>
          <w:sz w:val="18"/>
          <w:szCs w:val="18"/>
        </w:rPr>
        <w:t>權證之標的證券暫停交易。</w:t>
      </w:r>
    </w:p>
    <w:p w14:paraId="0C2A4D77" w14:textId="77777777" w:rsidR="003354C7" w:rsidRDefault="0084393A" w:rsidP="003354C7">
      <w:pPr>
        <w:spacing w:line="200" w:lineRule="atLeast"/>
        <w:ind w:leftChars="250" w:left="780" w:hangingChars="100" w:hanging="180"/>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3.</w:t>
      </w:r>
      <w:r w:rsidR="004E7743" w:rsidRPr="008E2ED8">
        <w:rPr>
          <w:rFonts w:ascii="Arial" w:eastAsia="標楷體" w:hAnsi="Arial" w:cs="Arial"/>
          <w:color w:val="000000" w:themeColor="text1"/>
          <w:sz w:val="18"/>
          <w:szCs w:val="18"/>
        </w:rPr>
        <w:t>當流動量提供者專戶內之權證</w:t>
      </w:r>
      <w:r w:rsidR="003354C7">
        <w:rPr>
          <w:rFonts w:ascii="Arial" w:eastAsia="標楷體" w:hAnsi="Arial" w:cs="Arial"/>
          <w:color w:val="000000" w:themeColor="text1"/>
          <w:sz w:val="18"/>
          <w:szCs w:val="18"/>
        </w:rPr>
        <w:t>數量無法滿足每筆報價最低賣出單位時，流動量提供者僅申報買進價格</w:t>
      </w:r>
    </w:p>
    <w:p w14:paraId="4DEA7737" w14:textId="77777777" w:rsidR="003354C7" w:rsidRDefault="0084393A" w:rsidP="003354C7">
      <w:pPr>
        <w:spacing w:line="200" w:lineRule="atLeast"/>
        <w:ind w:left="118" w:firstLine="482"/>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4.</w:t>
      </w:r>
      <w:r w:rsidR="005B6FAF">
        <w:rPr>
          <w:rFonts w:ascii="Arial" w:eastAsia="標楷體" w:hAnsi="Arial" w:cs="Arial" w:hint="eastAsia"/>
          <w:color w:val="000000" w:themeColor="text1"/>
          <w:sz w:val="18"/>
          <w:szCs w:val="18"/>
        </w:rPr>
        <w:t>權證距到期日十五個交易日以內，流動量提供者得僅申報買進。</w:t>
      </w:r>
    </w:p>
    <w:p w14:paraId="36EC6088" w14:textId="77777777" w:rsidR="00E87C3F" w:rsidRDefault="005B6FAF" w:rsidP="00E87C3F">
      <w:pPr>
        <w:spacing w:line="200" w:lineRule="atLeast"/>
        <w:ind w:left="118" w:firstLine="482"/>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5.</w:t>
      </w:r>
      <w:r w:rsidR="004E7743" w:rsidRPr="008E2ED8">
        <w:rPr>
          <w:rFonts w:ascii="Arial" w:eastAsia="標楷體" w:hAnsi="Arial" w:cs="Arial"/>
          <w:color w:val="000000" w:themeColor="text1"/>
          <w:sz w:val="18"/>
          <w:szCs w:val="18"/>
        </w:rPr>
        <w:t>權證理論價值低於</w:t>
      </w:r>
      <w:r w:rsidR="004E7743" w:rsidRPr="008E2ED8">
        <w:rPr>
          <w:rFonts w:ascii="Arial" w:eastAsia="標楷體" w:hAnsi="Arial" w:cs="Arial"/>
          <w:color w:val="000000" w:themeColor="text1"/>
          <w:sz w:val="18"/>
          <w:szCs w:val="18"/>
        </w:rPr>
        <w:t xml:space="preserve"> 0.0</w:t>
      </w:r>
      <w:r w:rsidR="00BB166B" w:rsidRPr="008E2ED8">
        <w:rPr>
          <w:rFonts w:ascii="Arial" w:eastAsia="標楷體" w:hAnsi="Arial" w:cs="Arial"/>
          <w:color w:val="000000" w:themeColor="text1"/>
          <w:sz w:val="18"/>
          <w:szCs w:val="18"/>
        </w:rPr>
        <w:t>1</w:t>
      </w:r>
      <w:r w:rsidR="002E0EDB">
        <w:rPr>
          <w:rFonts w:ascii="Arial" w:eastAsia="標楷體" w:hAnsi="Arial" w:cs="Arial"/>
          <w:color w:val="000000" w:themeColor="text1"/>
          <w:sz w:val="18"/>
          <w:szCs w:val="18"/>
        </w:rPr>
        <w:t>元</w:t>
      </w:r>
      <w:r w:rsidR="004E7743" w:rsidRPr="008E2ED8">
        <w:rPr>
          <w:rFonts w:ascii="Arial" w:eastAsia="標楷體" w:hAnsi="Arial" w:cs="Arial"/>
          <w:color w:val="000000" w:themeColor="text1"/>
          <w:sz w:val="18"/>
          <w:szCs w:val="18"/>
        </w:rPr>
        <w:t>的權證。</w:t>
      </w:r>
    </w:p>
    <w:p w14:paraId="25401C4C" w14:textId="77777777" w:rsidR="00E87C3F" w:rsidRDefault="005B6FAF" w:rsidP="00E87C3F">
      <w:pPr>
        <w:spacing w:line="200" w:lineRule="atLeast"/>
        <w:ind w:left="118" w:firstLine="482"/>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6.</w:t>
      </w:r>
      <w:r w:rsidR="004E7743" w:rsidRPr="008E2ED8">
        <w:rPr>
          <w:rFonts w:ascii="Arial" w:eastAsia="標楷體" w:hAnsi="Arial" w:cs="Arial"/>
          <w:color w:val="000000" w:themeColor="text1"/>
          <w:sz w:val="18"/>
          <w:szCs w:val="18"/>
        </w:rPr>
        <w:t>流動量提供者在日常運作出現技術性問題時。</w:t>
      </w:r>
    </w:p>
    <w:p w14:paraId="278A4FC0" w14:textId="77777777" w:rsidR="00E87C3F" w:rsidRDefault="005B6FAF" w:rsidP="00E87C3F">
      <w:pPr>
        <w:spacing w:line="200" w:lineRule="atLeast"/>
        <w:ind w:left="118" w:firstLine="482"/>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7.</w:t>
      </w:r>
      <w:r w:rsidR="004E7743" w:rsidRPr="008E2ED8">
        <w:rPr>
          <w:rFonts w:ascii="Arial" w:eastAsia="標楷體" w:hAnsi="Arial" w:cs="Arial"/>
          <w:color w:val="000000" w:themeColor="text1"/>
          <w:sz w:val="18"/>
          <w:szCs w:val="18"/>
        </w:rPr>
        <w:t>當發行人無法進行避險時。</w:t>
      </w:r>
    </w:p>
    <w:p w14:paraId="00223ED0" w14:textId="77777777" w:rsidR="005B6FAF" w:rsidRDefault="005B6FAF" w:rsidP="00E87C3F">
      <w:pPr>
        <w:spacing w:line="200" w:lineRule="atLeast"/>
        <w:ind w:left="118" w:firstLine="482"/>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8.</w:t>
      </w:r>
      <w:r w:rsidR="004A0C41" w:rsidRPr="008E2ED8">
        <w:rPr>
          <w:rFonts w:ascii="Arial" w:eastAsia="標楷體" w:hAnsi="Arial" w:cs="Arial"/>
          <w:color w:val="000000" w:themeColor="text1"/>
          <w:sz w:val="18"/>
          <w:szCs w:val="18"/>
        </w:rPr>
        <w:t>價內程度超過</w:t>
      </w:r>
      <w:r w:rsidR="004A0C41" w:rsidRPr="008E2ED8">
        <w:rPr>
          <w:rFonts w:ascii="Arial" w:eastAsia="標楷體" w:hAnsi="Arial" w:cs="Arial"/>
          <w:color w:val="000000" w:themeColor="text1"/>
          <w:sz w:val="18"/>
          <w:szCs w:val="18"/>
        </w:rPr>
        <w:t>30%(</w:t>
      </w:r>
      <w:r w:rsidR="004A0C41" w:rsidRPr="008E2ED8">
        <w:rPr>
          <w:rFonts w:ascii="Arial" w:eastAsia="標楷體" w:hAnsi="Arial" w:cs="Arial"/>
          <w:color w:val="000000" w:themeColor="text1"/>
          <w:sz w:val="18"/>
          <w:szCs w:val="18"/>
        </w:rPr>
        <w:t>含</w:t>
      </w:r>
      <w:r w:rsidR="004A0C41" w:rsidRPr="008E2ED8">
        <w:rPr>
          <w:rFonts w:ascii="Arial" w:eastAsia="標楷體" w:hAnsi="Arial" w:cs="Arial"/>
          <w:color w:val="000000" w:themeColor="text1"/>
          <w:sz w:val="18"/>
          <w:szCs w:val="18"/>
        </w:rPr>
        <w:t>)</w:t>
      </w:r>
      <w:r w:rsidR="004A0C41" w:rsidRPr="008E2ED8">
        <w:rPr>
          <w:rFonts w:ascii="Arial" w:eastAsia="標楷體" w:hAnsi="Arial" w:cs="Arial"/>
          <w:color w:val="000000" w:themeColor="text1"/>
          <w:sz w:val="18"/>
          <w:szCs w:val="18"/>
        </w:rPr>
        <w:t>之權證，僅申報買進價格。</w:t>
      </w:r>
    </w:p>
    <w:p w14:paraId="3CD05EAB" w14:textId="77777777" w:rsidR="005B6FAF" w:rsidRDefault="005B6FAF" w:rsidP="00E87C3F">
      <w:pPr>
        <w:widowControl/>
        <w:spacing w:line="240" w:lineRule="exact"/>
        <w:ind w:left="118" w:firstLine="482"/>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9.</w:t>
      </w:r>
      <w:r w:rsidR="00925DA9" w:rsidRPr="008E2ED8">
        <w:rPr>
          <w:rFonts w:ascii="Arial" w:eastAsia="標楷體" w:hAnsi="Arial" w:cs="Arial"/>
          <w:color w:val="000000" w:themeColor="text1"/>
          <w:sz w:val="18"/>
          <w:szCs w:val="18"/>
        </w:rPr>
        <w:t>標的證券價格漲停時，認購（售）權證得僅申報買進（賣出）價格；標的證券價格跌停時，認購（售）權證得僅申報賣出（買進）價</w:t>
      </w:r>
    </w:p>
    <w:p w14:paraId="20CCAD4D" w14:textId="77777777" w:rsidR="00925DA9" w:rsidRPr="008E2ED8" w:rsidRDefault="00925DA9" w:rsidP="005B6FAF">
      <w:pPr>
        <w:widowControl/>
        <w:spacing w:line="240" w:lineRule="exact"/>
        <w:ind w:leftChars="150" w:left="360" w:firstLineChars="150" w:firstLine="270"/>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格。認購（售）權證價格漲停時，認購（售）權證得僅申報買進價格；認購（售）權證價格跌停時，認購（售）權證得僅申報賣出價格。</w:t>
      </w:r>
    </w:p>
    <w:p w14:paraId="67212967" w14:textId="77777777" w:rsidR="00B2130E" w:rsidRPr="008E2ED8" w:rsidRDefault="005B6FAF" w:rsidP="008E2ED8">
      <w:pPr>
        <w:tabs>
          <w:tab w:val="left" w:pos="5520"/>
        </w:tabs>
        <w:snapToGrid w:val="0"/>
        <w:spacing w:line="200" w:lineRule="atLeast"/>
        <w:ind w:leftChars="250" w:left="780" w:hangingChars="100" w:hanging="180"/>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10</w:t>
      </w:r>
      <w:r w:rsidR="00B2130E" w:rsidRPr="008E2ED8">
        <w:rPr>
          <w:rFonts w:ascii="Arial" w:eastAsia="標楷體" w:hAnsi="Arial" w:cs="Arial"/>
          <w:color w:val="000000" w:themeColor="text1"/>
          <w:sz w:val="18"/>
          <w:szCs w:val="18"/>
        </w:rPr>
        <w:t>.</w:t>
      </w:r>
      <w:r w:rsidR="00B2130E" w:rsidRPr="008E2ED8">
        <w:rPr>
          <w:rFonts w:ascii="Arial" w:eastAsia="標楷體" w:hAnsi="Arial" w:cs="Arial"/>
          <w:color w:val="000000" w:themeColor="text1"/>
          <w:sz w:val="18"/>
          <w:szCs w:val="18"/>
        </w:rPr>
        <w:t>個股型權證、電子指數權證或金融指數權證：標的</w:t>
      </w:r>
      <w:r w:rsidR="00B2130E" w:rsidRPr="008E2ED8">
        <w:rPr>
          <w:rFonts w:ascii="Arial" w:eastAsia="標楷體" w:hAnsi="Arial" w:cs="Arial"/>
          <w:color w:val="000000" w:themeColor="text1"/>
          <w:sz w:val="18"/>
          <w:szCs w:val="18"/>
        </w:rPr>
        <w:t>20</w:t>
      </w:r>
      <w:r w:rsidR="00B2130E" w:rsidRPr="008E2ED8">
        <w:rPr>
          <w:rFonts w:ascii="Arial" w:eastAsia="標楷體" w:hAnsi="Arial" w:cs="Arial"/>
          <w:color w:val="000000" w:themeColor="text1"/>
          <w:sz w:val="18"/>
          <w:szCs w:val="18"/>
        </w:rPr>
        <w:t>天交易日歷史波動率超過權證最佳委買價格隱含波動率達</w:t>
      </w:r>
      <w:r w:rsidR="00B2130E" w:rsidRPr="008E2ED8">
        <w:rPr>
          <w:rFonts w:ascii="Arial" w:eastAsia="標楷體" w:hAnsi="Arial" w:cs="Arial"/>
          <w:color w:val="000000" w:themeColor="text1"/>
          <w:sz w:val="18"/>
          <w:szCs w:val="18"/>
        </w:rPr>
        <w:t>5%</w:t>
      </w:r>
      <w:r w:rsidR="00B2130E" w:rsidRPr="008E2ED8">
        <w:rPr>
          <w:rFonts w:ascii="Arial" w:eastAsia="標楷體" w:hAnsi="Arial" w:cs="Arial"/>
          <w:color w:val="000000" w:themeColor="text1"/>
          <w:sz w:val="18"/>
          <w:szCs w:val="18"/>
        </w:rPr>
        <w:t>時，</w:t>
      </w:r>
      <w:r w:rsidR="00B2130E" w:rsidRPr="008E2ED8">
        <w:rPr>
          <w:rFonts w:ascii="Arial" w:eastAsia="標楷體" w:hAnsi="Arial" w:cs="Arial"/>
          <w:color w:val="000000" w:themeColor="text1"/>
          <w:sz w:val="18"/>
          <w:szCs w:val="18"/>
          <w:lang w:eastAsia="zh-CN"/>
        </w:rPr>
        <w:t>權證得不報</w:t>
      </w:r>
      <w:r w:rsidR="00B2130E" w:rsidRPr="008E2ED8">
        <w:rPr>
          <w:rFonts w:ascii="Arial" w:eastAsia="標楷體" w:hAnsi="Arial" w:cs="Arial"/>
          <w:color w:val="000000" w:themeColor="text1"/>
          <w:sz w:val="18"/>
          <w:szCs w:val="18"/>
        </w:rPr>
        <w:t>賣價。</w:t>
      </w:r>
    </w:p>
    <w:p w14:paraId="7E3E4ABA" w14:textId="77777777" w:rsidR="00B2130E" w:rsidRDefault="005B6FAF" w:rsidP="008E2ED8">
      <w:pPr>
        <w:snapToGrid w:val="0"/>
        <w:spacing w:line="200" w:lineRule="atLeast"/>
        <w:ind w:leftChars="250" w:left="870" w:hangingChars="150" w:hanging="270"/>
        <w:rPr>
          <w:rFonts w:ascii="Arial" w:eastAsia="標楷體" w:hAnsi="Arial" w:cs="Arial"/>
          <w:color w:val="000000" w:themeColor="text1"/>
          <w:sz w:val="18"/>
          <w:szCs w:val="18"/>
        </w:rPr>
      </w:pPr>
      <w:r>
        <w:rPr>
          <w:rFonts w:ascii="Arial" w:eastAsia="標楷體" w:hAnsi="Arial" w:cs="Arial"/>
          <w:color w:val="000000" w:themeColor="text1"/>
          <w:sz w:val="18"/>
          <w:szCs w:val="18"/>
        </w:rPr>
        <w:t>1</w:t>
      </w:r>
      <w:r>
        <w:rPr>
          <w:rFonts w:ascii="Arial" w:eastAsia="標楷體" w:hAnsi="Arial" w:cs="Arial" w:hint="eastAsia"/>
          <w:color w:val="000000" w:themeColor="text1"/>
          <w:sz w:val="18"/>
          <w:szCs w:val="18"/>
        </w:rPr>
        <w:t>1</w:t>
      </w:r>
      <w:r w:rsidR="00B2130E" w:rsidRPr="008E2ED8">
        <w:rPr>
          <w:rFonts w:ascii="Arial" w:eastAsia="標楷體" w:hAnsi="Arial" w:cs="Arial"/>
          <w:color w:val="000000" w:themeColor="text1"/>
          <w:sz w:val="18"/>
          <w:szCs w:val="18"/>
        </w:rPr>
        <w:t>.</w:t>
      </w:r>
      <w:r w:rsidR="00B2130E" w:rsidRPr="008E2ED8">
        <w:rPr>
          <w:rFonts w:ascii="Arial" w:eastAsia="標楷體" w:hAnsi="Arial" w:cs="Arial"/>
          <w:color w:val="000000" w:themeColor="text1"/>
          <w:sz w:val="18"/>
          <w:szCs w:val="18"/>
        </w:rPr>
        <w:t>台股指數權證：期交所每分鐘公告之臺指選擇權波動率指數</w:t>
      </w:r>
      <w:r w:rsidR="00B2130E" w:rsidRPr="008E2ED8">
        <w:rPr>
          <w:rFonts w:ascii="Arial" w:eastAsia="標楷體" w:hAnsi="Arial" w:cs="Arial"/>
          <w:color w:val="000000" w:themeColor="text1"/>
          <w:sz w:val="18"/>
          <w:szCs w:val="18"/>
        </w:rPr>
        <w:t>(VIX)</w:t>
      </w:r>
      <w:r w:rsidR="00B2130E" w:rsidRPr="008E2ED8">
        <w:rPr>
          <w:rFonts w:ascii="Arial" w:eastAsia="標楷體" w:hAnsi="Arial" w:cs="Arial"/>
          <w:color w:val="000000" w:themeColor="text1"/>
          <w:sz w:val="18"/>
          <w:szCs w:val="18"/>
        </w:rPr>
        <w:t>超過權證最佳委買價格隱含波動率達</w:t>
      </w:r>
      <w:r w:rsidR="00B2130E" w:rsidRPr="008E2ED8">
        <w:rPr>
          <w:rFonts w:ascii="Arial" w:eastAsia="標楷體" w:hAnsi="Arial" w:cs="Arial"/>
          <w:color w:val="000000" w:themeColor="text1"/>
          <w:sz w:val="18"/>
          <w:szCs w:val="18"/>
        </w:rPr>
        <w:t>3</w:t>
      </w:r>
      <w:r w:rsidR="00B2130E" w:rsidRPr="008E2ED8">
        <w:rPr>
          <w:rFonts w:ascii="Arial" w:eastAsia="標楷體" w:hAnsi="Arial" w:cs="Arial"/>
          <w:color w:val="000000" w:themeColor="text1"/>
          <w:sz w:val="18"/>
          <w:szCs w:val="18"/>
        </w:rPr>
        <w:t>％時，</w:t>
      </w:r>
      <w:r w:rsidR="00B2130E" w:rsidRPr="008E2ED8">
        <w:rPr>
          <w:rFonts w:ascii="Arial" w:eastAsia="標楷體" w:hAnsi="Arial" w:cs="Arial"/>
          <w:color w:val="000000" w:themeColor="text1"/>
          <w:sz w:val="18"/>
          <w:szCs w:val="18"/>
          <w:lang w:eastAsia="zh-CN"/>
        </w:rPr>
        <w:t>權證得不報</w:t>
      </w:r>
      <w:r w:rsidR="00B2130E" w:rsidRPr="008E2ED8">
        <w:rPr>
          <w:rFonts w:ascii="Arial" w:eastAsia="標楷體" w:hAnsi="Arial" w:cs="Arial"/>
          <w:color w:val="000000" w:themeColor="text1"/>
          <w:sz w:val="18"/>
          <w:szCs w:val="18"/>
        </w:rPr>
        <w:t>賣價。</w:t>
      </w:r>
    </w:p>
    <w:p w14:paraId="36C5BA81" w14:textId="77777777" w:rsidR="003A4509" w:rsidRPr="008E2ED8" w:rsidRDefault="003A4509" w:rsidP="008E2ED8">
      <w:pPr>
        <w:snapToGrid w:val="0"/>
        <w:spacing w:line="200" w:lineRule="atLeast"/>
        <w:ind w:leftChars="250" w:left="870" w:hangingChars="150" w:hanging="270"/>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12.</w:t>
      </w:r>
      <w:r w:rsidRPr="003A4509">
        <w:rPr>
          <w:rFonts w:ascii="Arial" w:eastAsia="標楷體" w:hAnsi="Arial" w:cs="Arial" w:hint="eastAsia"/>
          <w:color w:val="000000" w:themeColor="text1"/>
          <w:sz w:val="18"/>
          <w:szCs w:val="18"/>
        </w:rPr>
        <w:t>標的為期貨</w:t>
      </w:r>
      <w:r w:rsidRPr="003A4509">
        <w:rPr>
          <w:rFonts w:ascii="Arial" w:eastAsia="標楷體" w:hAnsi="Arial" w:cs="Arial" w:hint="eastAsia"/>
          <w:color w:val="000000" w:themeColor="text1"/>
          <w:sz w:val="18"/>
          <w:szCs w:val="18"/>
        </w:rPr>
        <w:t>ETF</w:t>
      </w:r>
      <w:r w:rsidRPr="003A4509">
        <w:rPr>
          <w:rFonts w:ascii="Arial" w:eastAsia="標楷體" w:hAnsi="Arial" w:cs="Arial" w:hint="eastAsia"/>
          <w:color w:val="000000" w:themeColor="text1"/>
          <w:sz w:val="18"/>
          <w:szCs w:val="18"/>
        </w:rPr>
        <w:t>者，經主管機關公告限制買進後次一營業日起，至公告恢復買進委託止，權證得僅申報買進價格。</w:t>
      </w:r>
    </w:p>
    <w:p w14:paraId="5A90C74B" w14:textId="77777777" w:rsidR="009B60F1" w:rsidRPr="008E2ED8" w:rsidRDefault="00A475BE" w:rsidP="00A475BE">
      <w:pPr>
        <w:snapToGrid w:val="0"/>
        <w:spacing w:line="200" w:lineRule="atLeast"/>
        <w:rPr>
          <w:rFonts w:ascii="Arial" w:eastAsia="標楷體" w:hAnsi="Arial" w:cs="Arial"/>
          <w:b/>
          <w:color w:val="000000" w:themeColor="text1"/>
          <w:sz w:val="18"/>
          <w:szCs w:val="18"/>
        </w:rPr>
      </w:pPr>
      <w:r>
        <w:rPr>
          <w:rFonts w:ascii="Arial" w:eastAsia="標楷體" w:hAnsi="Arial" w:cs="Arial" w:hint="eastAsia"/>
          <w:b/>
          <w:color w:val="000000" w:themeColor="text1"/>
          <w:sz w:val="18"/>
          <w:szCs w:val="18"/>
        </w:rPr>
        <w:t>八、</w:t>
      </w:r>
      <w:r w:rsidR="009B60F1" w:rsidRPr="008E2ED8">
        <w:rPr>
          <w:rFonts w:ascii="Arial" w:eastAsia="標楷體" w:hAnsi="Arial" w:cs="Arial"/>
          <w:b/>
          <w:color w:val="000000" w:themeColor="text1"/>
          <w:sz w:val="18"/>
          <w:szCs w:val="18"/>
        </w:rPr>
        <w:t>履約事項</w:t>
      </w:r>
      <w:r w:rsidR="009B60F1" w:rsidRPr="008E2ED8">
        <w:rPr>
          <w:rFonts w:ascii="Arial" w:eastAsia="標楷體" w:hAnsi="Arial" w:cs="Arial"/>
          <w:b/>
          <w:color w:val="000000" w:themeColor="text1"/>
          <w:sz w:val="18"/>
          <w:szCs w:val="18"/>
        </w:rPr>
        <w:t>:</w:t>
      </w:r>
    </w:p>
    <w:p w14:paraId="7F3A7FAE" w14:textId="77777777" w:rsidR="009B60F1" w:rsidRPr="008E2ED8" w:rsidRDefault="009B60F1" w:rsidP="008E2ED8">
      <w:pPr>
        <w:numPr>
          <w:ilvl w:val="4"/>
          <w:numId w:val="4"/>
        </w:numPr>
        <w:tabs>
          <w:tab w:val="clear" w:pos="2340"/>
          <w:tab w:val="left" w:pos="480"/>
        </w:tabs>
        <w:snapToGrid w:val="0"/>
        <w:spacing w:line="200" w:lineRule="atLeast"/>
        <w:ind w:left="480" w:hanging="360"/>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請求履約之程序</w:t>
      </w:r>
    </w:p>
    <w:p w14:paraId="02412496" w14:textId="77777777" w:rsidR="00437444" w:rsidRPr="008E2ED8" w:rsidRDefault="00E65A10" w:rsidP="00E65A10">
      <w:pPr>
        <w:snapToGrid w:val="0"/>
        <w:spacing w:line="200" w:lineRule="atLeast"/>
        <w:ind w:left="600"/>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1.</w:t>
      </w:r>
      <w:r w:rsidR="00B8248C" w:rsidRPr="008E2ED8">
        <w:rPr>
          <w:rFonts w:ascii="Arial" w:eastAsia="標楷體" w:hAnsi="Arial" w:cs="Arial"/>
          <w:color w:val="000000" w:themeColor="text1"/>
          <w:sz w:val="18"/>
          <w:szCs w:val="18"/>
        </w:rPr>
        <w:t>請求方式</w:t>
      </w:r>
      <w:r w:rsidR="00B8248C" w:rsidRPr="008E2ED8">
        <w:rPr>
          <w:rFonts w:ascii="Arial" w:eastAsia="標楷體" w:hAnsi="Arial" w:cs="Arial"/>
          <w:color w:val="000000" w:themeColor="text1"/>
          <w:sz w:val="18"/>
          <w:szCs w:val="18"/>
        </w:rPr>
        <w:br/>
      </w:r>
      <w:r w:rsidR="00B8248C" w:rsidRPr="008E2ED8">
        <w:rPr>
          <w:rFonts w:ascii="Arial" w:eastAsia="標楷體" w:hAnsi="Arial" w:cs="Arial"/>
          <w:color w:val="000000" w:themeColor="text1"/>
          <w:sz w:val="18"/>
          <w:szCs w:val="18"/>
        </w:rPr>
        <w:lastRenderedPageBreak/>
        <w:t>依臺灣證券交易所股份有限公司</w:t>
      </w:r>
      <w:r w:rsidR="00B8248C" w:rsidRPr="008E2ED8">
        <w:rPr>
          <w:rFonts w:ascii="Arial" w:eastAsia="標楷體" w:hAnsi="Arial" w:cs="Arial"/>
          <w:color w:val="000000" w:themeColor="text1"/>
          <w:sz w:val="18"/>
          <w:szCs w:val="18"/>
        </w:rPr>
        <w:t>(</w:t>
      </w:r>
      <w:r w:rsidR="00B8248C" w:rsidRPr="008E2ED8">
        <w:rPr>
          <w:rFonts w:ascii="Arial" w:eastAsia="標楷體" w:hAnsi="Arial" w:cs="Arial"/>
          <w:color w:val="000000" w:themeColor="text1"/>
          <w:sz w:val="18"/>
          <w:szCs w:val="18"/>
        </w:rPr>
        <w:t>以下稱「交易所」</w:t>
      </w:r>
      <w:r w:rsidR="00B8248C" w:rsidRPr="008E2ED8">
        <w:rPr>
          <w:rFonts w:ascii="Arial" w:eastAsia="標楷體" w:hAnsi="Arial" w:cs="Arial"/>
          <w:color w:val="000000" w:themeColor="text1"/>
          <w:sz w:val="18"/>
          <w:szCs w:val="18"/>
        </w:rPr>
        <w:t>)</w:t>
      </w:r>
      <w:r w:rsidR="00B8248C" w:rsidRPr="008E2ED8">
        <w:rPr>
          <w:rFonts w:ascii="Arial" w:eastAsia="標楷體" w:hAnsi="Arial" w:cs="Arial"/>
          <w:color w:val="000000" w:themeColor="text1"/>
          <w:sz w:val="18"/>
          <w:szCs w:val="18"/>
        </w:rPr>
        <w:t>營業細則及相關規定辦理。依交易所現行規定，持有人應先填具「認購</w:t>
      </w:r>
      <w:r w:rsidR="00B8248C" w:rsidRPr="008E2ED8">
        <w:rPr>
          <w:rFonts w:ascii="Arial" w:eastAsia="標楷體" w:hAnsi="Arial" w:cs="Arial"/>
          <w:color w:val="000000" w:themeColor="text1"/>
          <w:sz w:val="18"/>
          <w:szCs w:val="18"/>
        </w:rPr>
        <w:t>(</w:t>
      </w:r>
      <w:r w:rsidR="00B8248C" w:rsidRPr="008E2ED8">
        <w:rPr>
          <w:rFonts w:ascii="Arial" w:eastAsia="標楷體" w:hAnsi="Arial" w:cs="Arial"/>
          <w:color w:val="000000" w:themeColor="text1"/>
          <w:sz w:val="18"/>
          <w:szCs w:val="18"/>
        </w:rPr>
        <w:t>售</w:t>
      </w:r>
      <w:r w:rsidR="00B8248C" w:rsidRPr="008E2ED8">
        <w:rPr>
          <w:rFonts w:ascii="Arial" w:eastAsia="標楷體" w:hAnsi="Arial" w:cs="Arial"/>
          <w:color w:val="000000" w:themeColor="text1"/>
          <w:sz w:val="18"/>
          <w:szCs w:val="18"/>
        </w:rPr>
        <w:t>)</w:t>
      </w:r>
      <w:r w:rsidR="00B8248C" w:rsidRPr="008E2ED8">
        <w:rPr>
          <w:rFonts w:ascii="Arial" w:eastAsia="標楷體" w:hAnsi="Arial" w:cs="Arial"/>
          <w:color w:val="000000" w:themeColor="text1"/>
          <w:sz w:val="18"/>
          <w:szCs w:val="18"/>
        </w:rPr>
        <w:t>權證履約申請委託書」委託證券商向交易所提出申請，並向證券商預繳履約所需支付之款項。交易所規定變更時，依變更後之規定。</w:t>
      </w:r>
    </w:p>
    <w:p w14:paraId="18253109" w14:textId="77777777" w:rsidR="00437444" w:rsidRPr="008E2ED8" w:rsidRDefault="00E65A10" w:rsidP="00E65A10">
      <w:pPr>
        <w:snapToGrid w:val="0"/>
        <w:spacing w:line="200" w:lineRule="atLeast"/>
        <w:ind w:left="600"/>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2.</w:t>
      </w:r>
      <w:r w:rsidR="00B8248C" w:rsidRPr="008E2ED8">
        <w:rPr>
          <w:rFonts w:ascii="Arial" w:eastAsia="標楷體" w:hAnsi="Arial" w:cs="Arial"/>
          <w:color w:val="000000" w:themeColor="text1"/>
          <w:sz w:val="18"/>
          <w:szCs w:val="18"/>
        </w:rPr>
        <w:t>請求時間</w:t>
      </w:r>
      <w:r w:rsidR="00B8248C" w:rsidRPr="008E2ED8">
        <w:rPr>
          <w:rFonts w:ascii="Arial" w:eastAsia="標楷體" w:hAnsi="Arial" w:cs="Arial"/>
          <w:color w:val="000000" w:themeColor="text1"/>
          <w:sz w:val="18"/>
          <w:szCs w:val="18"/>
        </w:rPr>
        <w:br/>
      </w:r>
      <w:r w:rsidR="00665CAF" w:rsidRPr="008E2ED8">
        <w:rPr>
          <w:rFonts w:ascii="Arial" w:eastAsia="標楷體" w:hAnsi="Arial" w:cs="Arial"/>
          <w:color w:val="000000" w:themeColor="text1"/>
          <w:sz w:val="18"/>
          <w:szCs w:val="18"/>
        </w:rPr>
        <w:t>依交易所營業細則及相關規定辦理。依交易所現行規定，證券商提出申請履約截止時間為：</w:t>
      </w:r>
      <w:r w:rsidR="0080085B" w:rsidRPr="008E2ED8">
        <w:rPr>
          <w:rFonts w:ascii="Arial" w:eastAsia="標楷體" w:hAnsi="Arial" w:cs="Arial"/>
          <w:color w:val="000000" w:themeColor="text1"/>
          <w:sz w:val="18"/>
          <w:szCs w:val="18"/>
        </w:rPr>
        <w:t>週一至週五為下午二時三十分</w:t>
      </w:r>
      <w:r w:rsidR="00665CAF" w:rsidRPr="008E2ED8">
        <w:rPr>
          <w:rFonts w:ascii="Arial" w:eastAsia="標楷體" w:hAnsi="Arial" w:cs="Arial"/>
          <w:color w:val="000000" w:themeColor="text1"/>
          <w:sz w:val="18"/>
          <w:szCs w:val="18"/>
        </w:rPr>
        <w:t>；撤銷履約請求之截止時間亦同。交易所規定變更時，依變更後之規定。</w:t>
      </w:r>
    </w:p>
    <w:p w14:paraId="65D6F5FE" w14:textId="77777777" w:rsidR="00437444" w:rsidRPr="008E2ED8" w:rsidRDefault="00E65A10" w:rsidP="00E65A10">
      <w:pPr>
        <w:snapToGrid w:val="0"/>
        <w:spacing w:line="200" w:lineRule="atLeast"/>
        <w:ind w:left="600"/>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3</w:t>
      </w:r>
      <w:r w:rsidR="00B8248C" w:rsidRPr="008E2ED8">
        <w:rPr>
          <w:rFonts w:ascii="Arial" w:eastAsia="標楷體" w:hAnsi="Arial" w:cs="Arial"/>
          <w:color w:val="000000" w:themeColor="text1"/>
          <w:sz w:val="18"/>
          <w:szCs w:val="18"/>
        </w:rPr>
        <w:t>請求數量</w:t>
      </w:r>
      <w:r w:rsidR="00B8248C" w:rsidRPr="008E2ED8">
        <w:rPr>
          <w:rFonts w:ascii="Arial" w:eastAsia="標楷體" w:hAnsi="Arial" w:cs="Arial"/>
          <w:color w:val="000000" w:themeColor="text1"/>
          <w:sz w:val="18"/>
          <w:szCs w:val="18"/>
        </w:rPr>
        <w:br/>
      </w:r>
      <w:r w:rsidR="0080085B" w:rsidRPr="008E2ED8">
        <w:rPr>
          <w:rFonts w:ascii="Arial" w:eastAsia="標楷體" w:hAnsi="Arial" w:cs="Arial"/>
          <w:bCs/>
          <w:color w:val="000000" w:themeColor="text1"/>
          <w:sz w:val="18"/>
          <w:szCs w:val="18"/>
        </w:rPr>
        <w:t>持有人請求履約時，不論發行人以證券給付或現金結算方式履約，均應為一千單位或其整倍數之認購權證。</w:t>
      </w:r>
    </w:p>
    <w:p w14:paraId="02A80C4F" w14:textId="77777777" w:rsidR="00CB03EE" w:rsidRPr="008E2ED8" w:rsidRDefault="00E65A10" w:rsidP="00E65A10">
      <w:pPr>
        <w:snapToGrid w:val="0"/>
        <w:spacing w:line="200" w:lineRule="atLeast"/>
        <w:ind w:left="600"/>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4</w:t>
      </w:r>
      <w:r w:rsidR="00CB03EE" w:rsidRPr="008E2ED8">
        <w:rPr>
          <w:rFonts w:ascii="Arial" w:eastAsia="標楷體" w:hAnsi="Arial" w:cs="Arial"/>
          <w:color w:val="000000" w:themeColor="text1"/>
          <w:sz w:val="18"/>
          <w:szCs w:val="18"/>
        </w:rPr>
        <w:t>持有人請求履約時，</w:t>
      </w:r>
      <w:r w:rsidR="0080085B" w:rsidRPr="008E2ED8">
        <w:rPr>
          <w:rFonts w:ascii="Arial" w:eastAsia="標楷體" w:hAnsi="Arial" w:cs="Arial"/>
          <w:color w:val="000000" w:themeColor="text1"/>
          <w:sz w:val="18"/>
          <w:szCs w:val="18"/>
        </w:rPr>
        <w:t>不論發行人以證券給付或現金結算方式履約，均</w:t>
      </w:r>
      <w:r w:rsidR="00CB03EE" w:rsidRPr="008E2ED8">
        <w:rPr>
          <w:rFonts w:ascii="Arial" w:eastAsia="標楷體" w:hAnsi="Arial" w:cs="Arial"/>
          <w:color w:val="000000" w:themeColor="text1"/>
          <w:sz w:val="18"/>
          <w:szCs w:val="18"/>
        </w:rPr>
        <w:t>應依交易所規定，按</w:t>
      </w:r>
      <w:r w:rsidR="0080085B" w:rsidRPr="008E2ED8">
        <w:rPr>
          <w:rFonts w:ascii="Arial" w:eastAsia="標楷體" w:hAnsi="Arial" w:cs="Arial"/>
          <w:color w:val="000000" w:themeColor="text1"/>
          <w:sz w:val="18"/>
          <w:szCs w:val="18"/>
        </w:rPr>
        <w:t>認購權證</w:t>
      </w:r>
      <w:r w:rsidR="00CB03EE" w:rsidRPr="008E2ED8">
        <w:rPr>
          <w:rFonts w:ascii="Arial" w:eastAsia="標楷體" w:hAnsi="Arial" w:cs="Arial"/>
          <w:color w:val="000000" w:themeColor="text1"/>
          <w:sz w:val="18"/>
          <w:szCs w:val="18"/>
        </w:rPr>
        <w:t>履約價格乘以標的證券數量計算金額，由證券商依規定費率向持有人收取手續費。</w:t>
      </w:r>
    </w:p>
    <w:p w14:paraId="03ECEFEB" w14:textId="77777777" w:rsidR="00437444" w:rsidRPr="008E2ED8" w:rsidRDefault="00E65A10" w:rsidP="00E65A10">
      <w:pPr>
        <w:snapToGrid w:val="0"/>
        <w:spacing w:line="200" w:lineRule="atLeast"/>
        <w:ind w:left="600"/>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5.</w:t>
      </w:r>
      <w:r w:rsidR="00B8248C" w:rsidRPr="008E2ED8">
        <w:rPr>
          <w:rFonts w:ascii="Arial" w:eastAsia="標楷體" w:hAnsi="Arial" w:cs="Arial"/>
          <w:color w:val="000000" w:themeColor="text1"/>
          <w:sz w:val="18"/>
          <w:szCs w:val="18"/>
        </w:rPr>
        <w:t>持有人與證券商間有關權證履約之款項，均不得與集中交易市場有價證券買賣之交割互抵。</w:t>
      </w:r>
    </w:p>
    <w:p w14:paraId="33BCCD36" w14:textId="77777777" w:rsidR="00437444" w:rsidRPr="008E2ED8" w:rsidRDefault="00E65A10" w:rsidP="00E65A10">
      <w:pPr>
        <w:snapToGrid w:val="0"/>
        <w:spacing w:line="200" w:lineRule="atLeast"/>
        <w:ind w:left="600"/>
        <w:jc w:val="both"/>
        <w:rPr>
          <w:rFonts w:ascii="Arial" w:eastAsia="標楷體" w:hAnsi="Arial" w:cs="Arial"/>
          <w:color w:val="000000" w:themeColor="text1"/>
          <w:sz w:val="18"/>
          <w:szCs w:val="18"/>
        </w:rPr>
      </w:pPr>
      <w:r>
        <w:rPr>
          <w:rFonts w:ascii="Arial" w:eastAsia="標楷體" w:hAnsi="Arial" w:cs="Arial" w:hint="eastAsia"/>
          <w:bCs/>
          <w:color w:val="000000" w:themeColor="text1"/>
          <w:sz w:val="18"/>
          <w:szCs w:val="18"/>
        </w:rPr>
        <w:t>6</w:t>
      </w:r>
      <w:r w:rsidR="0080085B" w:rsidRPr="008E2ED8">
        <w:rPr>
          <w:rFonts w:ascii="Arial" w:eastAsia="標楷體" w:hAnsi="Arial" w:cs="Arial"/>
          <w:bCs/>
          <w:color w:val="000000" w:themeColor="text1"/>
          <w:sz w:val="18"/>
          <w:szCs w:val="18"/>
        </w:rPr>
        <w:t>認購權證</w:t>
      </w:r>
      <w:r w:rsidR="00B8248C" w:rsidRPr="008E2ED8">
        <w:rPr>
          <w:rFonts w:ascii="Arial" w:eastAsia="標楷體" w:hAnsi="Arial" w:cs="Arial"/>
          <w:color w:val="000000" w:themeColor="text1"/>
          <w:sz w:val="18"/>
          <w:szCs w:val="18"/>
        </w:rPr>
        <w:t>之履約、履約查詢及款券收付作業經由交易所及臺灣集中保管結算所股份有限公司（以下簡稱臺灣集中保管結算所）辦理。</w:t>
      </w:r>
    </w:p>
    <w:p w14:paraId="6D195BFC" w14:textId="77777777" w:rsidR="00B8248C" w:rsidRPr="008E2ED8" w:rsidRDefault="00E65A10" w:rsidP="00E65A10">
      <w:pPr>
        <w:snapToGrid w:val="0"/>
        <w:spacing w:line="200" w:lineRule="atLeast"/>
        <w:ind w:left="600"/>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7.</w:t>
      </w:r>
      <w:r w:rsidR="00B8248C" w:rsidRPr="008E2ED8">
        <w:rPr>
          <w:rFonts w:ascii="Arial" w:eastAsia="標楷體" w:hAnsi="Arial" w:cs="Arial"/>
          <w:color w:val="000000" w:themeColor="text1"/>
          <w:sz w:val="18"/>
          <w:szCs w:val="18"/>
        </w:rPr>
        <w:t>發行人就受託請求履約證券商之行為不負責任。</w:t>
      </w:r>
    </w:p>
    <w:p w14:paraId="00EAB92A" w14:textId="77777777" w:rsidR="009B60F1" w:rsidRPr="008E2ED8" w:rsidRDefault="009B60F1" w:rsidP="008E2ED8">
      <w:pPr>
        <w:numPr>
          <w:ilvl w:val="4"/>
          <w:numId w:val="4"/>
        </w:numPr>
        <w:tabs>
          <w:tab w:val="clear" w:pos="2340"/>
          <w:tab w:val="left" w:pos="480"/>
        </w:tabs>
        <w:snapToGrid w:val="0"/>
        <w:spacing w:line="200" w:lineRule="atLeast"/>
        <w:ind w:left="480" w:hanging="360"/>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履約給付</w:t>
      </w:r>
    </w:p>
    <w:p w14:paraId="47CE3DA0" w14:textId="77777777" w:rsidR="00437444" w:rsidRPr="008E2ED8" w:rsidRDefault="00E65A10" w:rsidP="00E65A10">
      <w:pPr>
        <w:tabs>
          <w:tab w:val="left" w:pos="600"/>
        </w:tabs>
        <w:snapToGrid w:val="0"/>
        <w:spacing w:line="200" w:lineRule="atLeast"/>
        <w:ind w:left="600"/>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1.</w:t>
      </w:r>
      <w:r w:rsidR="0032057F" w:rsidRPr="008E2ED8">
        <w:rPr>
          <w:rFonts w:ascii="Arial" w:eastAsia="標楷體" w:hAnsi="Arial" w:cs="Arial"/>
          <w:color w:val="000000" w:themeColor="text1"/>
          <w:sz w:val="18"/>
          <w:szCs w:val="18"/>
        </w:rPr>
        <w:t>發行人於接獲請求履約通知時，就當日請求履約之</w:t>
      </w:r>
      <w:r w:rsidR="0080085B" w:rsidRPr="008E2ED8">
        <w:rPr>
          <w:rFonts w:ascii="Arial" w:eastAsia="標楷體" w:hAnsi="Arial" w:cs="Arial"/>
          <w:color w:val="000000" w:themeColor="text1"/>
          <w:sz w:val="18"/>
          <w:szCs w:val="18"/>
        </w:rPr>
        <w:t>認購權證得選擇全部或部分以現金結算方式履約</w:t>
      </w:r>
      <w:r w:rsidR="0032057F" w:rsidRPr="008E2ED8">
        <w:rPr>
          <w:rFonts w:ascii="Arial" w:eastAsia="標楷體" w:hAnsi="Arial" w:cs="Arial"/>
          <w:color w:val="000000" w:themeColor="text1"/>
          <w:sz w:val="18"/>
          <w:szCs w:val="18"/>
        </w:rPr>
        <w:t>，並依交易所及臺灣集中保管結算所之規定，通知交易所或臺灣集中保管結算所。</w:t>
      </w:r>
    </w:p>
    <w:p w14:paraId="4E1EF3E6" w14:textId="77777777" w:rsidR="00437444" w:rsidRPr="008E2ED8" w:rsidRDefault="00E65A10" w:rsidP="00E65A10">
      <w:pPr>
        <w:tabs>
          <w:tab w:val="left" w:pos="600"/>
        </w:tabs>
        <w:snapToGrid w:val="0"/>
        <w:spacing w:line="200" w:lineRule="atLeast"/>
        <w:ind w:left="600"/>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2.</w:t>
      </w:r>
      <w:r w:rsidR="0080085B" w:rsidRPr="008E2ED8">
        <w:rPr>
          <w:rFonts w:ascii="Arial" w:eastAsia="標楷體" w:hAnsi="Arial" w:cs="Arial"/>
          <w:color w:val="000000" w:themeColor="text1"/>
          <w:sz w:val="18"/>
          <w:szCs w:val="18"/>
        </w:rPr>
        <w:t>同一營業日發行人以部分證券給付、部分現金結算方式履約時，以證券商向交易所提出履約申請之時序較優先者，先行採證券給付方式。交易所規定變更時，依變更後之規定。</w:t>
      </w:r>
    </w:p>
    <w:p w14:paraId="147F9C85" w14:textId="77777777" w:rsidR="0032057F" w:rsidRPr="008E2ED8" w:rsidRDefault="00E65A10" w:rsidP="00E65A10">
      <w:pPr>
        <w:tabs>
          <w:tab w:val="left" w:pos="600"/>
        </w:tabs>
        <w:snapToGrid w:val="0"/>
        <w:spacing w:line="200" w:lineRule="atLeast"/>
        <w:ind w:left="600"/>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3.</w:t>
      </w:r>
      <w:r w:rsidR="0080085B" w:rsidRPr="008E2ED8">
        <w:rPr>
          <w:rFonts w:ascii="Arial" w:eastAsia="標楷體" w:hAnsi="Arial" w:cs="Arial"/>
          <w:color w:val="000000" w:themeColor="text1"/>
          <w:sz w:val="18"/>
          <w:szCs w:val="18"/>
        </w:rPr>
        <w:t>倘認購權證具履約價值且發行人選擇現金結算時，則發行人應按持有人行使權利請求履約當日標的證券收盤價格減履約價格之差價乘以行使比例計算每單位權證所得金額給付持有人之委任證券商。</w:t>
      </w:r>
    </w:p>
    <w:p w14:paraId="7EA4453F" w14:textId="77777777" w:rsidR="00694434" w:rsidRPr="008E2ED8" w:rsidRDefault="00E65A10" w:rsidP="00E65A10">
      <w:pPr>
        <w:snapToGrid w:val="0"/>
        <w:spacing w:line="200" w:lineRule="atLeast"/>
        <w:ind w:leftChars="238" w:left="638" w:hangingChars="37" w:hanging="67"/>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4.</w:t>
      </w:r>
      <w:r w:rsidR="0080085B" w:rsidRPr="008E2ED8">
        <w:rPr>
          <w:rFonts w:ascii="Arial" w:eastAsia="標楷體" w:hAnsi="Arial" w:cs="Arial"/>
          <w:color w:val="000000" w:themeColor="text1"/>
          <w:sz w:val="18"/>
          <w:szCs w:val="18"/>
        </w:rPr>
        <w:t>如發行人採現金結算，投資人除到期日外之存續期間申請履約時，以標的證券之收盤價格結算；如到期具履約價值而未申請履約者，發行人將以標的證券收盤前六十分鐘內成交價格之簡單</w:t>
      </w:r>
      <w:r w:rsidR="001B5FFE">
        <w:rPr>
          <w:rFonts w:ascii="Arial" w:eastAsia="標楷體" w:hAnsi="Arial" w:cs="Arial"/>
          <w:color w:val="000000" w:themeColor="text1"/>
          <w:sz w:val="18"/>
          <w:szCs w:val="18"/>
        </w:rPr>
        <w:t>算術</w:t>
      </w:r>
      <w:r w:rsidR="0080085B" w:rsidRPr="008E2ED8">
        <w:rPr>
          <w:rFonts w:ascii="Arial" w:eastAsia="標楷體" w:hAnsi="Arial" w:cs="Arial"/>
          <w:color w:val="000000" w:themeColor="text1"/>
          <w:sz w:val="18"/>
          <w:szCs w:val="18"/>
        </w:rPr>
        <w:t>平均價自動現金結算。如無成交者則以最近一次成交價格計算。</w:t>
      </w:r>
    </w:p>
    <w:p w14:paraId="7F018528" w14:textId="77777777" w:rsidR="009B60F1" w:rsidRPr="008E2ED8" w:rsidRDefault="009B60F1" w:rsidP="008E2ED8">
      <w:pPr>
        <w:numPr>
          <w:ilvl w:val="4"/>
          <w:numId w:val="4"/>
        </w:numPr>
        <w:tabs>
          <w:tab w:val="clear" w:pos="2340"/>
          <w:tab w:val="left" w:pos="480"/>
        </w:tabs>
        <w:snapToGrid w:val="0"/>
        <w:spacing w:line="200" w:lineRule="atLeast"/>
        <w:ind w:left="480" w:hanging="360"/>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停止請求履約</w:t>
      </w:r>
    </w:p>
    <w:p w14:paraId="785E58B9" w14:textId="77777777" w:rsidR="009B60F1" w:rsidRPr="008E2ED8" w:rsidRDefault="00D44617" w:rsidP="008E2ED8">
      <w:pPr>
        <w:pStyle w:val="a5"/>
        <w:snapToGrid w:val="0"/>
        <w:spacing w:line="200" w:lineRule="atLeast"/>
        <w:ind w:left="480" w:hanging="1"/>
        <w:rPr>
          <w:rFonts w:ascii="Arial" w:hAnsi="Arial" w:cs="Arial"/>
          <w:color w:val="000000" w:themeColor="text1"/>
          <w:sz w:val="18"/>
          <w:szCs w:val="18"/>
        </w:rPr>
      </w:pPr>
      <w:r w:rsidRPr="008E2ED8">
        <w:rPr>
          <w:rFonts w:ascii="Arial" w:hAnsi="Arial" w:cs="Arial"/>
          <w:color w:val="000000" w:themeColor="text1"/>
          <w:sz w:val="18"/>
          <w:szCs w:val="18"/>
        </w:rPr>
        <w:t>標的證券在交易市場終止上市，或本</w:t>
      </w:r>
      <w:r w:rsidR="0080085B" w:rsidRPr="008E2ED8">
        <w:rPr>
          <w:rFonts w:ascii="Arial" w:hAnsi="Arial" w:cs="Arial"/>
          <w:color w:val="000000" w:themeColor="text1"/>
          <w:sz w:val="18"/>
          <w:szCs w:val="18"/>
        </w:rPr>
        <w:t>認購權證</w:t>
      </w:r>
      <w:r w:rsidRPr="008E2ED8">
        <w:rPr>
          <w:rFonts w:ascii="Arial" w:hAnsi="Arial" w:cs="Arial"/>
          <w:color w:val="000000" w:themeColor="text1"/>
          <w:sz w:val="18"/>
          <w:szCs w:val="18"/>
        </w:rPr>
        <w:t>在交易市場終止上市，本權證停止請求履約，並依本發行計畫</w:t>
      </w:r>
      <w:r w:rsidR="009B60F1" w:rsidRPr="008E2ED8">
        <w:rPr>
          <w:rFonts w:ascii="Arial" w:hAnsi="Arial" w:cs="Arial"/>
          <w:color w:val="000000" w:themeColor="text1"/>
          <w:sz w:val="18"/>
          <w:szCs w:val="18"/>
        </w:rPr>
        <w:t>相關規定辦理。</w:t>
      </w:r>
    </w:p>
    <w:p w14:paraId="567EA186" w14:textId="77777777" w:rsidR="009B60F1" w:rsidRPr="008E2ED8" w:rsidRDefault="00B51412" w:rsidP="008E2ED8">
      <w:pPr>
        <w:numPr>
          <w:ilvl w:val="4"/>
          <w:numId w:val="4"/>
        </w:numPr>
        <w:tabs>
          <w:tab w:val="clear" w:pos="2340"/>
          <w:tab w:val="left" w:pos="480"/>
        </w:tabs>
        <w:snapToGrid w:val="0"/>
        <w:spacing w:line="200" w:lineRule="atLeast"/>
        <w:ind w:left="480" w:hanging="360"/>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經發行人依交易所及</w:t>
      </w:r>
      <w:r w:rsidR="008279B8" w:rsidRPr="008E2ED8">
        <w:rPr>
          <w:rFonts w:ascii="Arial" w:eastAsia="標楷體" w:hAnsi="Arial" w:cs="Arial"/>
          <w:color w:val="000000" w:themeColor="text1"/>
          <w:sz w:val="18"/>
          <w:szCs w:val="18"/>
        </w:rPr>
        <w:t>臺</w:t>
      </w:r>
      <w:r w:rsidRPr="008E2ED8">
        <w:rPr>
          <w:rFonts w:ascii="Arial" w:eastAsia="標楷體" w:hAnsi="Arial" w:cs="Arial"/>
          <w:color w:val="000000" w:themeColor="text1"/>
          <w:sz w:val="18"/>
          <w:szCs w:val="18"/>
        </w:rPr>
        <w:t>灣集中保管結算所</w:t>
      </w:r>
      <w:r w:rsidR="009B60F1" w:rsidRPr="008E2ED8">
        <w:rPr>
          <w:rFonts w:ascii="Arial" w:eastAsia="標楷體" w:hAnsi="Arial" w:cs="Arial"/>
          <w:color w:val="000000" w:themeColor="text1"/>
          <w:sz w:val="18"/>
          <w:szCs w:val="18"/>
        </w:rPr>
        <w:t>規定將應給付持有人之款券辦理交割完畢時，發行人即為履行契約責任。</w:t>
      </w:r>
    </w:p>
    <w:p w14:paraId="5307764F" w14:textId="77777777" w:rsidR="009B60F1" w:rsidRPr="008E2ED8" w:rsidRDefault="009B60F1" w:rsidP="008E2ED8">
      <w:pPr>
        <w:numPr>
          <w:ilvl w:val="4"/>
          <w:numId w:val="4"/>
        </w:numPr>
        <w:tabs>
          <w:tab w:val="clear" w:pos="2340"/>
        </w:tabs>
        <w:snapToGrid w:val="0"/>
        <w:spacing w:line="200" w:lineRule="atLeast"/>
        <w:ind w:left="480" w:hanging="360"/>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本</w:t>
      </w:r>
      <w:r w:rsidR="0080085B" w:rsidRPr="008E2ED8">
        <w:rPr>
          <w:rFonts w:ascii="Arial" w:eastAsia="標楷體" w:hAnsi="Arial" w:cs="Arial"/>
          <w:color w:val="000000" w:themeColor="text1"/>
          <w:sz w:val="18"/>
          <w:szCs w:val="18"/>
        </w:rPr>
        <w:t>認購權證</w:t>
      </w:r>
      <w:r w:rsidR="0032057F" w:rsidRPr="008E2ED8">
        <w:rPr>
          <w:rFonts w:ascii="Arial" w:eastAsia="標楷體" w:hAnsi="Arial" w:cs="Arial"/>
          <w:color w:val="000000" w:themeColor="text1"/>
          <w:sz w:val="18"/>
          <w:szCs w:val="18"/>
        </w:rPr>
        <w:t>存續期間屆滿日或視為到期日，持有人未請求履約者，</w:t>
      </w:r>
      <w:r w:rsidR="0080085B" w:rsidRPr="008E2ED8">
        <w:rPr>
          <w:rFonts w:ascii="Arial" w:eastAsia="標楷體" w:hAnsi="Arial" w:cs="Arial"/>
          <w:color w:val="000000" w:themeColor="text1"/>
          <w:sz w:val="18"/>
          <w:szCs w:val="18"/>
        </w:rPr>
        <w:t>認購權證</w:t>
      </w:r>
      <w:r w:rsidR="0032057F" w:rsidRPr="008E2ED8">
        <w:rPr>
          <w:rFonts w:ascii="Arial" w:eastAsia="標楷體" w:hAnsi="Arial" w:cs="Arial"/>
          <w:color w:val="000000" w:themeColor="text1"/>
          <w:sz w:val="18"/>
          <w:szCs w:val="18"/>
        </w:rPr>
        <w:t>失其效力，除本發行計畫另有規定外，發行人對本</w:t>
      </w:r>
      <w:r w:rsidR="0080085B" w:rsidRPr="008E2ED8">
        <w:rPr>
          <w:rFonts w:ascii="Arial" w:eastAsia="標楷體" w:hAnsi="Arial" w:cs="Arial"/>
          <w:color w:val="000000" w:themeColor="text1"/>
          <w:sz w:val="18"/>
          <w:szCs w:val="18"/>
        </w:rPr>
        <w:t>認購權證</w:t>
      </w:r>
      <w:r w:rsidR="0032057F" w:rsidRPr="008E2ED8">
        <w:rPr>
          <w:rFonts w:ascii="Arial" w:eastAsia="標楷體" w:hAnsi="Arial" w:cs="Arial"/>
          <w:color w:val="000000" w:themeColor="text1"/>
          <w:sz w:val="18"/>
          <w:szCs w:val="18"/>
        </w:rPr>
        <w:t>不</w:t>
      </w:r>
      <w:r w:rsidRPr="008E2ED8">
        <w:rPr>
          <w:rFonts w:ascii="Arial" w:eastAsia="標楷體" w:hAnsi="Arial" w:cs="Arial"/>
          <w:color w:val="000000" w:themeColor="text1"/>
          <w:sz w:val="18"/>
          <w:szCs w:val="18"/>
        </w:rPr>
        <w:t>負任何責任。</w:t>
      </w:r>
    </w:p>
    <w:p w14:paraId="60528C5D" w14:textId="77777777" w:rsidR="009B60F1" w:rsidRPr="008E2ED8" w:rsidRDefault="009B60F1" w:rsidP="008E2ED8">
      <w:pPr>
        <w:numPr>
          <w:ilvl w:val="4"/>
          <w:numId w:val="4"/>
        </w:numPr>
        <w:tabs>
          <w:tab w:val="clear" w:pos="2340"/>
        </w:tabs>
        <w:snapToGrid w:val="0"/>
        <w:spacing w:line="200" w:lineRule="atLeast"/>
        <w:ind w:left="480" w:hanging="360"/>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發行人因履約而收回之</w:t>
      </w:r>
      <w:r w:rsidR="0080085B" w:rsidRPr="008E2ED8">
        <w:rPr>
          <w:rFonts w:ascii="Arial" w:eastAsia="標楷體" w:hAnsi="Arial" w:cs="Arial"/>
          <w:color w:val="000000" w:themeColor="text1"/>
          <w:sz w:val="18"/>
          <w:szCs w:val="18"/>
        </w:rPr>
        <w:t>認購權證</w:t>
      </w:r>
      <w:r w:rsidRPr="008E2ED8">
        <w:rPr>
          <w:rFonts w:ascii="Arial" w:eastAsia="標楷體" w:hAnsi="Arial" w:cs="Arial"/>
          <w:color w:val="000000" w:themeColor="text1"/>
          <w:sz w:val="18"/>
          <w:szCs w:val="18"/>
        </w:rPr>
        <w:t>應予註銷。</w:t>
      </w:r>
    </w:p>
    <w:p w14:paraId="59DFB98E" w14:textId="77777777" w:rsidR="009B60F1" w:rsidRPr="008E2ED8" w:rsidRDefault="009B60F1" w:rsidP="008E2ED8">
      <w:pPr>
        <w:numPr>
          <w:ilvl w:val="4"/>
          <w:numId w:val="4"/>
        </w:numPr>
        <w:tabs>
          <w:tab w:val="clear" w:pos="2340"/>
        </w:tabs>
        <w:snapToGrid w:val="0"/>
        <w:spacing w:line="200" w:lineRule="atLeast"/>
        <w:ind w:left="480" w:hanging="360"/>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其他買賣及履約相關事項，依證券交易所營業細則及認購</w:t>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售</w:t>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權證相關規章辦理。</w:t>
      </w:r>
    </w:p>
    <w:p w14:paraId="76DE5A65" w14:textId="77777777" w:rsidR="009B60F1" w:rsidRPr="008E2ED8" w:rsidRDefault="00A475BE" w:rsidP="00A475BE">
      <w:pPr>
        <w:snapToGrid w:val="0"/>
        <w:spacing w:line="200" w:lineRule="atLeast"/>
        <w:rPr>
          <w:rFonts w:ascii="Arial" w:eastAsia="標楷體" w:hAnsi="Arial" w:cs="Arial"/>
          <w:b/>
          <w:color w:val="000000" w:themeColor="text1"/>
          <w:sz w:val="18"/>
          <w:szCs w:val="18"/>
        </w:rPr>
      </w:pPr>
      <w:r>
        <w:rPr>
          <w:rFonts w:ascii="Arial" w:eastAsia="標楷體" w:hAnsi="Arial" w:cs="Arial" w:hint="eastAsia"/>
          <w:b/>
          <w:color w:val="000000" w:themeColor="text1"/>
          <w:sz w:val="18"/>
          <w:szCs w:val="18"/>
        </w:rPr>
        <w:t>九、</w:t>
      </w:r>
      <w:r w:rsidR="009B60F1" w:rsidRPr="008E2ED8">
        <w:rPr>
          <w:rFonts w:ascii="Arial" w:eastAsia="標楷體" w:hAnsi="Arial" w:cs="Arial"/>
          <w:b/>
          <w:color w:val="000000" w:themeColor="text1"/>
          <w:sz w:val="18"/>
          <w:szCs w:val="18"/>
        </w:rPr>
        <w:t>預定之風險沖銷策略</w:t>
      </w:r>
    </w:p>
    <w:p w14:paraId="4B3EBE6A" w14:textId="77777777" w:rsidR="009B60F1" w:rsidRPr="008E2ED8" w:rsidRDefault="009B60F1" w:rsidP="008E2ED8">
      <w:pPr>
        <w:snapToGrid w:val="0"/>
        <w:spacing w:line="200" w:lineRule="atLeast"/>
        <w:ind w:left="180"/>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本公司未來將針對標的股價格及波動性進行避險，所擬採取之風險沖銷策略明細如下</w:t>
      </w:r>
      <w:r w:rsidRPr="008E2ED8">
        <w:rPr>
          <w:rFonts w:ascii="Arial" w:eastAsia="標楷體" w:hAnsi="Arial" w:cs="Arial"/>
          <w:color w:val="000000" w:themeColor="text1"/>
          <w:sz w:val="18"/>
          <w:szCs w:val="18"/>
        </w:rPr>
        <w:t>:</w:t>
      </w:r>
    </w:p>
    <w:p w14:paraId="411BCDBC" w14:textId="77777777" w:rsidR="006E5BDC" w:rsidRPr="008E2ED8" w:rsidRDefault="002330BB" w:rsidP="008E2ED8">
      <w:pPr>
        <w:numPr>
          <w:ilvl w:val="0"/>
          <w:numId w:val="5"/>
        </w:numPr>
        <w:tabs>
          <w:tab w:val="clear" w:pos="541"/>
          <w:tab w:val="num" w:pos="480"/>
        </w:tabs>
        <w:snapToGrid w:val="0"/>
        <w:spacing w:line="200" w:lineRule="atLeast"/>
        <w:ind w:hanging="421"/>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標的股價格沖銷策略以標的證券為主</w:t>
      </w:r>
    </w:p>
    <w:p w14:paraId="62B08E58" w14:textId="77777777" w:rsidR="009B60F1" w:rsidRPr="008E2ED8" w:rsidRDefault="009B60F1" w:rsidP="008E2ED8">
      <w:pPr>
        <w:numPr>
          <w:ilvl w:val="0"/>
          <w:numId w:val="5"/>
        </w:numPr>
        <w:tabs>
          <w:tab w:val="clear" w:pos="541"/>
          <w:tab w:val="num" w:pos="480"/>
        </w:tabs>
        <w:snapToGrid w:val="0"/>
        <w:spacing w:line="200" w:lineRule="atLeast"/>
        <w:ind w:hanging="421"/>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波動性風險沖銷策略以本公司所發行的</w:t>
      </w:r>
      <w:r w:rsidR="0080085B" w:rsidRPr="008E2ED8">
        <w:rPr>
          <w:rFonts w:ascii="Arial" w:eastAsia="標楷體" w:hAnsi="Arial" w:cs="Arial"/>
          <w:color w:val="000000" w:themeColor="text1"/>
          <w:sz w:val="18"/>
          <w:szCs w:val="18"/>
        </w:rPr>
        <w:t>認購權證</w:t>
      </w:r>
      <w:r w:rsidRPr="008E2ED8">
        <w:rPr>
          <w:rFonts w:ascii="Arial" w:eastAsia="標楷體" w:hAnsi="Arial" w:cs="Arial"/>
          <w:color w:val="000000" w:themeColor="text1"/>
          <w:sz w:val="18"/>
          <w:szCs w:val="18"/>
        </w:rPr>
        <w:t>為主，標的證券所發行的轉換公司債為輔</w:t>
      </w:r>
    </w:p>
    <w:p w14:paraId="2A51B923" w14:textId="77777777" w:rsidR="007B06A3" w:rsidRPr="00A475BE" w:rsidRDefault="00A475BE" w:rsidP="00A475BE">
      <w:pPr>
        <w:snapToGrid w:val="0"/>
        <w:spacing w:line="200" w:lineRule="atLeast"/>
        <w:rPr>
          <w:rFonts w:ascii="Arial" w:eastAsia="標楷體" w:hAnsi="Arial" w:cs="Arial"/>
          <w:b/>
          <w:color w:val="000000" w:themeColor="text1"/>
          <w:sz w:val="18"/>
          <w:szCs w:val="18"/>
        </w:rPr>
      </w:pPr>
      <w:r>
        <w:rPr>
          <w:rFonts w:ascii="Arial" w:eastAsia="標楷體" w:hAnsi="Arial" w:cs="Arial" w:hint="eastAsia"/>
          <w:b/>
          <w:color w:val="000000" w:themeColor="text1"/>
          <w:sz w:val="18"/>
          <w:szCs w:val="18"/>
        </w:rPr>
        <w:t>十、</w:t>
      </w:r>
      <w:r w:rsidR="007B06A3" w:rsidRPr="00A475BE">
        <w:rPr>
          <w:rFonts w:ascii="Arial" w:eastAsia="標楷體" w:hAnsi="Arial" w:cs="Arial" w:hint="eastAsia"/>
          <w:b/>
          <w:color w:val="000000" w:themeColor="text1"/>
          <w:sz w:val="18"/>
          <w:szCs w:val="18"/>
        </w:rPr>
        <w:t>履約價格及行使比例之調整（發行人未依交易所參考調整公式訂定）</w:t>
      </w:r>
    </w:p>
    <w:p w14:paraId="1C382E29" w14:textId="77777777" w:rsidR="007B06A3" w:rsidRPr="008E2ED8" w:rsidRDefault="007B06A3" w:rsidP="00AA6867">
      <w:pPr>
        <w:tabs>
          <w:tab w:val="left" w:pos="2104"/>
        </w:tabs>
        <w:snapToGrid w:val="0"/>
        <w:spacing w:line="200" w:lineRule="atLeast"/>
        <w:ind w:leftChars="203" w:left="577" w:hangingChars="50" w:hanging="9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符號說明：</w:t>
      </w:r>
      <w:r w:rsidR="00AA6867">
        <w:rPr>
          <w:rFonts w:ascii="Arial" w:eastAsia="標楷體" w:hAnsi="標楷體" w:cs="Arial"/>
          <w:color w:val="000000" w:themeColor="text1"/>
          <w:sz w:val="18"/>
          <w:szCs w:val="18"/>
        </w:rPr>
        <w:tab/>
      </w:r>
    </w:p>
    <w:p w14:paraId="324FA872" w14:textId="77777777" w:rsidR="007B06A3" w:rsidRPr="006E0A80" w:rsidRDefault="007B06A3" w:rsidP="006E0A80">
      <w:pPr>
        <w:snapToGrid w:val="0"/>
        <w:spacing w:line="200" w:lineRule="atLeast"/>
        <w:ind w:leftChars="232" w:left="827" w:hangingChars="150" w:hanging="27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S</w:t>
      </w:r>
      <w:r w:rsidRPr="008E2ED8">
        <w:rPr>
          <w:rFonts w:ascii="Arial" w:eastAsia="標楷體" w:hAnsi="標楷體" w:cs="Arial" w:hint="eastAsia"/>
          <w:color w:val="000000" w:themeColor="text1"/>
          <w:sz w:val="18"/>
          <w:szCs w:val="18"/>
        </w:rPr>
        <w:t>：</w:t>
      </w:r>
      <w:r w:rsidR="006E0A80" w:rsidRPr="006E0A80">
        <w:rPr>
          <w:rFonts w:ascii="Arial" w:eastAsia="標楷體" w:hAnsi="標楷體" w:cs="Arial" w:hint="eastAsia"/>
          <w:color w:val="000000" w:themeColor="text1"/>
          <w:sz w:val="18"/>
          <w:szCs w:val="18"/>
        </w:rPr>
        <w:t>除權（息）交易日前一日標的證券收盤價、減資時最後交易日收盤價、變更股票面額之舊股票最後交易日收盤價或指數股票型基金</w:t>
      </w:r>
      <w:r w:rsidR="006E0A80" w:rsidRPr="006E0A80">
        <w:rPr>
          <w:rFonts w:ascii="Arial" w:eastAsia="標楷體" w:hAnsi="標楷體" w:cs="Arial" w:hint="eastAsia"/>
          <w:color w:val="000000" w:themeColor="text1"/>
          <w:sz w:val="18"/>
          <w:szCs w:val="18"/>
        </w:rPr>
        <w:t>(ETF)</w:t>
      </w:r>
      <w:r w:rsidR="006E0A80" w:rsidRPr="006E0A80">
        <w:rPr>
          <w:rFonts w:ascii="Arial" w:eastAsia="標楷體" w:hAnsi="標楷體" w:cs="Arial" w:hint="eastAsia"/>
          <w:color w:val="000000" w:themeColor="text1"/>
          <w:sz w:val="18"/>
          <w:szCs w:val="18"/>
        </w:rPr>
        <w:t>分割、反分割前最後交易日收盤價</w:t>
      </w:r>
    </w:p>
    <w:p w14:paraId="34FDF72E" w14:textId="77777777" w:rsidR="007B06A3" w:rsidRPr="006E0A80" w:rsidRDefault="007B06A3" w:rsidP="006E0A80">
      <w:pPr>
        <w:snapToGrid w:val="0"/>
        <w:spacing w:line="200" w:lineRule="atLeast"/>
        <w:ind w:leftChars="232" w:left="827" w:hangingChars="150" w:hanging="27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S'</w:t>
      </w:r>
      <w:r w:rsidRPr="008E2ED8">
        <w:rPr>
          <w:rFonts w:ascii="Arial" w:eastAsia="標楷體" w:hAnsi="標楷體" w:cs="Arial" w:hint="eastAsia"/>
          <w:color w:val="000000" w:themeColor="text1"/>
          <w:sz w:val="18"/>
          <w:szCs w:val="18"/>
        </w:rPr>
        <w:t>：</w:t>
      </w:r>
      <w:r w:rsidR="006E0A80" w:rsidRPr="006E0A80">
        <w:rPr>
          <w:rFonts w:ascii="Arial" w:eastAsia="標楷體" w:hAnsi="標楷體" w:cs="Arial" w:hint="eastAsia"/>
          <w:color w:val="000000" w:themeColor="text1"/>
          <w:sz w:val="18"/>
          <w:szCs w:val="18"/>
        </w:rPr>
        <w:t>除權（息）交易日標的證券參考價、減資參考價、變更股票面額之新股票上市開始買賣日參考價或指數股票型基金</w:t>
      </w:r>
      <w:r w:rsidR="006E0A80" w:rsidRPr="006E0A80">
        <w:rPr>
          <w:rFonts w:ascii="Arial" w:eastAsia="標楷體" w:hAnsi="標楷體" w:cs="Arial" w:hint="eastAsia"/>
          <w:color w:val="000000" w:themeColor="text1"/>
          <w:sz w:val="18"/>
          <w:szCs w:val="18"/>
        </w:rPr>
        <w:t>(ETF)</w:t>
      </w:r>
      <w:r w:rsidR="006E0A80" w:rsidRPr="006E0A80">
        <w:rPr>
          <w:rFonts w:ascii="Arial" w:eastAsia="標楷體" w:hAnsi="標楷體" w:cs="Arial" w:hint="eastAsia"/>
          <w:color w:val="000000" w:themeColor="text1"/>
          <w:sz w:val="18"/>
          <w:szCs w:val="18"/>
        </w:rPr>
        <w:t>分割、反分割參考價</w:t>
      </w:r>
    </w:p>
    <w:p w14:paraId="0E006A6B" w14:textId="77777777" w:rsidR="007B06A3" w:rsidRPr="008E2ED8" w:rsidRDefault="007B06A3" w:rsidP="008E2ED8">
      <w:pPr>
        <w:snapToGrid w:val="0"/>
        <w:spacing w:line="200" w:lineRule="atLeast"/>
        <w:ind w:leftChars="232" w:left="557"/>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K</w:t>
      </w:r>
      <w:r w:rsidRPr="008E2ED8">
        <w:rPr>
          <w:rFonts w:ascii="Arial" w:eastAsia="標楷體" w:hAnsi="標楷體" w:cs="Arial" w:hint="eastAsia"/>
          <w:color w:val="000000" w:themeColor="text1"/>
          <w:sz w:val="18"/>
          <w:szCs w:val="18"/>
        </w:rPr>
        <w:t>：調整前之履約價格</w:t>
      </w:r>
      <w:r w:rsidRPr="008E2ED8">
        <w:rPr>
          <w:rFonts w:ascii="Arial" w:eastAsia="標楷體" w:hAnsi="標楷體" w:cs="Arial"/>
          <w:color w:val="000000" w:themeColor="text1"/>
          <w:sz w:val="18"/>
          <w:szCs w:val="18"/>
        </w:rPr>
        <w:t xml:space="preserve">          </w:t>
      </w:r>
    </w:p>
    <w:p w14:paraId="40FF4205" w14:textId="77777777" w:rsidR="007B06A3" w:rsidRPr="008E2ED8" w:rsidRDefault="007B06A3" w:rsidP="008E2ED8">
      <w:pPr>
        <w:snapToGrid w:val="0"/>
        <w:spacing w:line="200" w:lineRule="atLeast"/>
        <w:ind w:leftChars="232" w:left="557"/>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K'</w:t>
      </w:r>
      <w:r w:rsidRPr="008E2ED8">
        <w:rPr>
          <w:rFonts w:ascii="Arial" w:eastAsia="標楷體" w:hAnsi="標楷體" w:cs="Arial" w:hint="eastAsia"/>
          <w:color w:val="000000" w:themeColor="text1"/>
          <w:sz w:val="18"/>
          <w:szCs w:val="18"/>
        </w:rPr>
        <w:t>：調整後之履約價格</w:t>
      </w:r>
      <w:r w:rsidRPr="008E2ED8">
        <w:rPr>
          <w:rFonts w:ascii="Arial" w:eastAsia="標楷體" w:hAnsi="標楷體" w:cs="Arial"/>
          <w:color w:val="000000" w:themeColor="text1"/>
          <w:sz w:val="18"/>
          <w:szCs w:val="18"/>
        </w:rPr>
        <w:t xml:space="preserve"> </w:t>
      </w:r>
    </w:p>
    <w:p w14:paraId="1B9487AB" w14:textId="77777777" w:rsidR="007B06A3" w:rsidRPr="008E2ED8" w:rsidRDefault="007B06A3" w:rsidP="008E2ED8">
      <w:pPr>
        <w:snapToGrid w:val="0"/>
        <w:spacing w:line="200" w:lineRule="atLeast"/>
        <w:ind w:leftChars="232" w:left="557"/>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N</w:t>
      </w:r>
      <w:r w:rsidRPr="008E2ED8">
        <w:rPr>
          <w:rFonts w:ascii="Arial" w:eastAsia="標楷體" w:hAnsi="標楷體" w:cs="Arial" w:hint="eastAsia"/>
          <w:color w:val="000000" w:themeColor="text1"/>
          <w:sz w:val="18"/>
          <w:szCs w:val="18"/>
        </w:rPr>
        <w:t>：調整前之行使比例</w:t>
      </w:r>
      <w:r w:rsidRPr="008E2ED8">
        <w:rPr>
          <w:rFonts w:ascii="Arial" w:eastAsia="標楷體" w:hAnsi="標楷體" w:cs="Arial"/>
          <w:color w:val="000000" w:themeColor="text1"/>
          <w:sz w:val="18"/>
          <w:szCs w:val="18"/>
        </w:rPr>
        <w:t xml:space="preserve">          </w:t>
      </w:r>
    </w:p>
    <w:p w14:paraId="2C257A66" w14:textId="77777777" w:rsidR="007B06A3" w:rsidRPr="008E2ED8" w:rsidRDefault="007B06A3" w:rsidP="008E2ED8">
      <w:pPr>
        <w:snapToGrid w:val="0"/>
        <w:spacing w:line="200" w:lineRule="atLeast"/>
        <w:ind w:leftChars="232" w:left="557"/>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N'</w:t>
      </w:r>
      <w:r w:rsidRPr="008E2ED8">
        <w:rPr>
          <w:rFonts w:ascii="Arial" w:eastAsia="標楷體" w:hAnsi="標楷體" w:cs="Arial" w:hint="eastAsia"/>
          <w:color w:val="000000" w:themeColor="text1"/>
          <w:sz w:val="18"/>
          <w:szCs w:val="18"/>
        </w:rPr>
        <w:t>：調整後之行使比例</w:t>
      </w:r>
    </w:p>
    <w:p w14:paraId="34D55546" w14:textId="77777777" w:rsidR="007B06A3" w:rsidRPr="008E2ED8" w:rsidRDefault="007B06A3" w:rsidP="008E2ED8">
      <w:pPr>
        <w:snapToGrid w:val="0"/>
        <w:spacing w:line="200" w:lineRule="atLeast"/>
        <w:ind w:leftChars="232" w:left="557"/>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m</w:t>
      </w:r>
      <w:r w:rsidRPr="008E2ED8">
        <w:rPr>
          <w:rFonts w:ascii="Arial" w:eastAsia="標楷體" w:hAnsi="標楷體" w:cs="Arial" w:hint="eastAsia"/>
          <w:color w:val="000000" w:themeColor="text1"/>
          <w:sz w:val="18"/>
          <w:szCs w:val="18"/>
        </w:rPr>
        <w:t>：現金增資認股率</w:t>
      </w:r>
      <w:r w:rsidRPr="008E2ED8">
        <w:rPr>
          <w:rFonts w:ascii="Arial" w:eastAsia="標楷體" w:hAnsi="標楷體" w:cs="Arial"/>
          <w:color w:val="000000" w:themeColor="text1"/>
          <w:sz w:val="18"/>
          <w:szCs w:val="18"/>
        </w:rPr>
        <w:t xml:space="preserve">            </w:t>
      </w:r>
    </w:p>
    <w:p w14:paraId="77353D70" w14:textId="77777777" w:rsidR="007B06A3" w:rsidRPr="008E2ED8" w:rsidRDefault="007B06A3" w:rsidP="008E2ED8">
      <w:pPr>
        <w:snapToGrid w:val="0"/>
        <w:spacing w:line="200" w:lineRule="atLeast"/>
        <w:ind w:leftChars="232" w:left="557"/>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n</w:t>
      </w:r>
      <w:r w:rsidRPr="008E2ED8">
        <w:rPr>
          <w:rFonts w:ascii="Arial" w:eastAsia="標楷體" w:hAnsi="標楷體" w:cs="Arial" w:hint="eastAsia"/>
          <w:color w:val="000000" w:themeColor="text1"/>
          <w:sz w:val="18"/>
          <w:szCs w:val="18"/>
        </w:rPr>
        <w:t>：無償配股率</w:t>
      </w:r>
    </w:p>
    <w:p w14:paraId="5082D7D0" w14:textId="77777777" w:rsidR="007B06A3" w:rsidRPr="008E2ED8" w:rsidRDefault="007B06A3" w:rsidP="008E2ED8">
      <w:pPr>
        <w:snapToGrid w:val="0"/>
        <w:spacing w:line="200" w:lineRule="atLeast"/>
        <w:ind w:leftChars="232" w:left="557"/>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P</w:t>
      </w:r>
      <w:r w:rsidRPr="008E2ED8">
        <w:rPr>
          <w:rFonts w:ascii="Arial" w:eastAsia="標楷體" w:hAnsi="標楷體" w:cs="Arial" w:hint="eastAsia"/>
          <w:color w:val="000000" w:themeColor="text1"/>
          <w:sz w:val="18"/>
          <w:szCs w:val="18"/>
        </w:rPr>
        <w:t>：現金增資每股認購價</w:t>
      </w:r>
      <w:r w:rsidRPr="008E2ED8">
        <w:rPr>
          <w:rFonts w:ascii="Arial" w:eastAsia="標楷體" w:hAnsi="標楷體" w:cs="Arial"/>
          <w:color w:val="000000" w:themeColor="text1"/>
          <w:sz w:val="18"/>
          <w:szCs w:val="18"/>
        </w:rPr>
        <w:t xml:space="preserve">        </w:t>
      </w:r>
    </w:p>
    <w:p w14:paraId="469E3695" w14:textId="77777777" w:rsidR="007B06A3" w:rsidRDefault="007B06A3" w:rsidP="008E2ED8">
      <w:pPr>
        <w:snapToGrid w:val="0"/>
        <w:spacing w:line="200" w:lineRule="atLeast"/>
        <w:ind w:leftChars="232" w:left="557"/>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B</w:t>
      </w:r>
      <w:r w:rsidRPr="008E2ED8">
        <w:rPr>
          <w:rFonts w:ascii="Arial" w:eastAsia="標楷體" w:hAnsi="標楷體" w:cs="Arial" w:hint="eastAsia"/>
          <w:color w:val="000000" w:themeColor="text1"/>
          <w:sz w:val="18"/>
          <w:szCs w:val="18"/>
        </w:rPr>
        <w:t>：</w:t>
      </w:r>
      <w:r w:rsidR="006E0A80" w:rsidRPr="006E0A80">
        <w:rPr>
          <w:rFonts w:ascii="Arial" w:eastAsia="標楷體" w:hAnsi="標楷體" w:cs="Arial" w:hint="eastAsia"/>
          <w:color w:val="000000" w:themeColor="text1"/>
          <w:sz w:val="18"/>
          <w:szCs w:val="18"/>
        </w:rPr>
        <w:t>標的證券現金股利或指數股票型基金</w:t>
      </w:r>
      <w:r w:rsidR="006E0A80" w:rsidRPr="006E0A80">
        <w:rPr>
          <w:rFonts w:ascii="Arial" w:eastAsia="標楷體" w:hAnsi="標楷體" w:cs="Arial" w:hint="eastAsia"/>
          <w:color w:val="000000" w:themeColor="text1"/>
          <w:sz w:val="18"/>
          <w:szCs w:val="18"/>
        </w:rPr>
        <w:t>(ETF)</w:t>
      </w:r>
      <w:r w:rsidR="006E0A80" w:rsidRPr="006E0A80">
        <w:rPr>
          <w:rFonts w:ascii="Arial" w:eastAsia="標楷體" w:hAnsi="標楷體" w:cs="Arial" w:hint="eastAsia"/>
          <w:color w:val="000000" w:themeColor="text1"/>
          <w:sz w:val="18"/>
          <w:szCs w:val="18"/>
        </w:rPr>
        <w:t>配發股息</w:t>
      </w:r>
    </w:p>
    <w:p w14:paraId="3EA0BACF" w14:textId="77777777" w:rsidR="00FE6265" w:rsidRPr="00FE6265" w:rsidRDefault="00FE6265" w:rsidP="00FE6265">
      <w:pPr>
        <w:snapToGrid w:val="0"/>
        <w:spacing w:line="200" w:lineRule="atLeast"/>
        <w:ind w:leftChars="232" w:left="557"/>
        <w:jc w:val="both"/>
        <w:rPr>
          <w:rFonts w:ascii="Arial" w:eastAsia="標楷體" w:hAnsi="標楷體" w:cs="Arial"/>
          <w:color w:val="000000" w:themeColor="text1"/>
          <w:sz w:val="18"/>
          <w:szCs w:val="18"/>
        </w:rPr>
      </w:pPr>
      <w:r w:rsidRPr="00FE6265">
        <w:rPr>
          <w:rFonts w:ascii="Arial" w:eastAsia="標楷體" w:hAnsi="標楷體" w:cs="Arial" w:hint="eastAsia"/>
          <w:color w:val="000000" w:themeColor="text1"/>
          <w:sz w:val="18"/>
          <w:szCs w:val="18"/>
        </w:rPr>
        <w:t>PV</w:t>
      </w:r>
      <w:r w:rsidRPr="00FE6265">
        <w:rPr>
          <w:rFonts w:ascii="Arial" w:eastAsia="標楷體" w:hAnsi="標楷體" w:cs="Arial" w:hint="eastAsia"/>
          <w:color w:val="000000" w:themeColor="text1"/>
          <w:sz w:val="18"/>
          <w:szCs w:val="18"/>
        </w:rPr>
        <w:t>：變更股票面額前之每股面額</w:t>
      </w:r>
    </w:p>
    <w:p w14:paraId="372B7862" w14:textId="77777777" w:rsidR="00FE6265" w:rsidRPr="00FE6265" w:rsidRDefault="00FE6265" w:rsidP="00FE6265">
      <w:pPr>
        <w:snapToGrid w:val="0"/>
        <w:spacing w:line="200" w:lineRule="atLeast"/>
        <w:ind w:leftChars="232" w:left="557"/>
        <w:jc w:val="both"/>
        <w:rPr>
          <w:rFonts w:ascii="Arial" w:eastAsia="標楷體" w:hAnsi="標楷體" w:cs="Arial"/>
          <w:color w:val="000000" w:themeColor="text1"/>
          <w:sz w:val="18"/>
          <w:szCs w:val="18"/>
        </w:rPr>
      </w:pPr>
      <w:r w:rsidRPr="00FE6265">
        <w:rPr>
          <w:rFonts w:ascii="Arial" w:eastAsia="標楷體" w:hAnsi="標楷體" w:cs="Arial" w:hint="eastAsia"/>
          <w:color w:val="000000" w:themeColor="text1"/>
          <w:sz w:val="18"/>
          <w:szCs w:val="18"/>
        </w:rPr>
        <w:t>PV'</w:t>
      </w:r>
      <w:r w:rsidRPr="00FE6265">
        <w:rPr>
          <w:rFonts w:ascii="Arial" w:eastAsia="標楷體" w:hAnsi="標楷體" w:cs="Arial" w:hint="eastAsia"/>
          <w:color w:val="000000" w:themeColor="text1"/>
          <w:sz w:val="18"/>
          <w:szCs w:val="18"/>
        </w:rPr>
        <w:t>：變更股票面額後之每股面額</w:t>
      </w:r>
    </w:p>
    <w:p w14:paraId="19B611A2" w14:textId="77777777" w:rsidR="007B06A3" w:rsidRPr="008E2ED8" w:rsidRDefault="00E70C67" w:rsidP="008E2ED8">
      <w:pPr>
        <w:snapToGrid w:val="0"/>
        <w:spacing w:line="200" w:lineRule="atLeast"/>
        <w:ind w:leftChars="100" w:left="240" w:firstLineChars="200" w:firstLine="360"/>
        <w:jc w:val="both"/>
        <w:rPr>
          <w:rFonts w:ascii="Arial" w:eastAsia="標楷體" w:hAnsi="標楷體" w:cs="Arial"/>
          <w:color w:val="000000" w:themeColor="text1"/>
          <w:sz w:val="18"/>
          <w:szCs w:val="18"/>
        </w:rPr>
      </w:pPr>
      <w:r>
        <w:rPr>
          <w:rFonts w:ascii="Arial" w:eastAsia="標楷體" w:hAnsi="標楷體" w:cs="Arial"/>
          <w:color w:val="000000" w:themeColor="text1"/>
          <w:sz w:val="18"/>
          <w:szCs w:val="18"/>
        </w:rPr>
        <w:t>(</w:t>
      </w:r>
      <w:r>
        <w:rPr>
          <w:rFonts w:ascii="Arial" w:eastAsia="標楷體" w:hAnsi="標楷體" w:cs="Arial" w:hint="eastAsia"/>
          <w:color w:val="000000" w:themeColor="text1"/>
          <w:sz w:val="18"/>
          <w:szCs w:val="18"/>
        </w:rPr>
        <w:t>一</w:t>
      </w:r>
      <w:r>
        <w:rPr>
          <w:rFonts w:ascii="Arial" w:eastAsia="標楷體" w:hAnsi="標楷體" w:cs="Arial" w:hint="eastAsia"/>
          <w:color w:val="000000" w:themeColor="text1"/>
          <w:sz w:val="18"/>
          <w:szCs w:val="18"/>
        </w:rPr>
        <w:t>)</w:t>
      </w:r>
      <w:r w:rsidRPr="00E70C67">
        <w:rPr>
          <w:rFonts w:ascii="Arial" w:eastAsia="標楷體" w:hAnsi="標楷體" w:cs="Arial" w:hint="eastAsia"/>
          <w:color w:val="000000" w:themeColor="text1"/>
          <w:sz w:val="18"/>
          <w:szCs w:val="18"/>
        </w:rPr>
        <w:t>標的證券發行公司有下列各款所定情事者，依各該款規定調整履約價格及行使比例：</w:t>
      </w:r>
    </w:p>
    <w:p w14:paraId="78CF3902" w14:textId="77777777" w:rsidR="007B06A3" w:rsidRPr="008E2ED8" w:rsidRDefault="00E70C67" w:rsidP="00E70C67">
      <w:pPr>
        <w:snapToGrid w:val="0"/>
        <w:spacing w:line="200" w:lineRule="atLeast"/>
        <w:ind w:leftChars="295" w:left="888" w:hangingChars="100" w:hanging="180"/>
        <w:jc w:val="both"/>
        <w:rPr>
          <w:rFonts w:ascii="Arial" w:eastAsia="標楷體" w:hAnsi="標楷體" w:cs="Arial"/>
          <w:color w:val="000000" w:themeColor="text1"/>
          <w:sz w:val="18"/>
          <w:szCs w:val="18"/>
        </w:rPr>
      </w:pPr>
      <w:r>
        <w:rPr>
          <w:rFonts w:ascii="Arial" w:eastAsia="標楷體" w:hAnsi="標楷體" w:cs="Arial"/>
          <w:color w:val="000000" w:themeColor="text1"/>
          <w:sz w:val="18"/>
          <w:szCs w:val="18"/>
        </w:rPr>
        <w:t>1.</w:t>
      </w:r>
      <w:r w:rsidR="007B06A3" w:rsidRPr="008E2ED8">
        <w:rPr>
          <w:rFonts w:ascii="Arial" w:eastAsia="標楷體" w:hAnsi="標楷體" w:cs="Arial"/>
          <w:color w:val="000000" w:themeColor="text1"/>
          <w:sz w:val="18"/>
          <w:szCs w:val="18"/>
        </w:rPr>
        <w:t xml:space="preserve">(a) </w:t>
      </w:r>
      <w:r w:rsidR="007B06A3" w:rsidRPr="008E2ED8">
        <w:rPr>
          <w:rFonts w:ascii="Arial" w:eastAsia="標楷體" w:hAnsi="標楷體" w:cs="Arial" w:hint="eastAsia"/>
          <w:color w:val="000000" w:themeColor="text1"/>
          <w:sz w:val="18"/>
          <w:szCs w:val="18"/>
        </w:rPr>
        <w:t>標的證券公司若有發放現金股利或遇有資本公積、盈餘公積無償配發股票股利、或者現金增資且現金增資每股認購價</w:t>
      </w:r>
      <w:r w:rsidR="007B06A3" w:rsidRPr="008E2ED8">
        <w:rPr>
          <w:rFonts w:ascii="Arial" w:eastAsia="標楷體" w:hAnsi="標楷體" w:cs="Arial" w:hint="eastAsia"/>
          <w:color w:val="000000" w:themeColor="text1"/>
          <w:sz w:val="18"/>
          <w:szCs w:val="18"/>
          <w:u w:val="single"/>
        </w:rPr>
        <w:t>低於</w:t>
      </w:r>
      <w:r w:rsidR="007B06A3" w:rsidRPr="008E2ED8">
        <w:rPr>
          <w:rFonts w:ascii="Arial" w:eastAsia="標楷體" w:hAnsi="標楷體" w:cs="Arial" w:hint="eastAsia"/>
          <w:color w:val="000000" w:themeColor="text1"/>
          <w:sz w:val="18"/>
          <w:szCs w:val="18"/>
        </w:rPr>
        <w:t>減除股利參考價〔</w:t>
      </w:r>
      <w:r w:rsidR="007B06A3" w:rsidRPr="008E2ED8">
        <w:rPr>
          <w:rFonts w:ascii="Arial" w:eastAsia="標楷體" w:hAnsi="標楷體" w:cs="Arial"/>
          <w:color w:val="000000" w:themeColor="text1"/>
          <w:sz w:val="18"/>
          <w:szCs w:val="18"/>
        </w:rPr>
        <w:t>P&lt;(S-B)/(1+n)</w:t>
      </w:r>
      <w:r w:rsidR="007B06A3" w:rsidRPr="008E2ED8">
        <w:rPr>
          <w:rFonts w:ascii="Arial" w:eastAsia="標楷體" w:hAnsi="標楷體" w:cs="Arial" w:hint="eastAsia"/>
          <w:color w:val="000000" w:themeColor="text1"/>
          <w:sz w:val="18"/>
          <w:szCs w:val="18"/>
        </w:rPr>
        <w:t>〕時，應做如下之調整：</w:t>
      </w:r>
      <w:r w:rsidR="007B06A3" w:rsidRPr="008E2ED8">
        <w:rPr>
          <w:rFonts w:ascii="Arial" w:eastAsia="標楷體" w:hAnsi="標楷體" w:cs="Arial"/>
          <w:color w:val="000000" w:themeColor="text1"/>
          <w:sz w:val="18"/>
          <w:szCs w:val="18"/>
        </w:rPr>
        <w:br/>
      </w:r>
      <w:r w:rsidR="007B06A3" w:rsidRPr="008E2ED8">
        <w:rPr>
          <w:rFonts w:ascii="Arial" w:eastAsia="標楷體" w:hAnsi="標楷體" w:cs="Arial" w:hint="eastAsia"/>
          <w:color w:val="000000" w:themeColor="text1"/>
          <w:sz w:val="18"/>
          <w:szCs w:val="18"/>
        </w:rPr>
        <w:t xml:space="preserve">   </w:t>
      </w:r>
      <w:r w:rsidR="007B06A3" w:rsidRPr="008E2ED8">
        <w:rPr>
          <w:rFonts w:ascii="Arial" w:eastAsia="標楷體" w:hAnsi="標楷體" w:cs="Arial" w:hint="eastAsia"/>
          <w:color w:val="000000" w:themeColor="text1"/>
          <w:sz w:val="18"/>
          <w:szCs w:val="18"/>
        </w:rPr>
        <w:t>除權息參考價通用計算公式如下：</w:t>
      </w:r>
    </w:p>
    <w:p w14:paraId="40CAF4AB" w14:textId="77777777" w:rsidR="007B06A3" w:rsidRPr="008E2ED8" w:rsidRDefault="007B06A3" w:rsidP="008E2ED8">
      <w:pPr>
        <w:snapToGrid w:val="0"/>
        <w:spacing w:line="200" w:lineRule="atLeast"/>
        <w:ind w:leftChars="100" w:left="960" w:hangingChars="400" w:hanging="72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 xml:space="preserve">         </w:t>
      </w:r>
      <w:r w:rsidRPr="008E2ED8">
        <w:rPr>
          <w:rFonts w:ascii="Arial" w:eastAsia="標楷體" w:hAnsi="標楷體" w:cs="Arial" w:hint="eastAsia"/>
          <w:color w:val="000000" w:themeColor="text1"/>
          <w:sz w:val="18"/>
          <w:szCs w:val="18"/>
        </w:rPr>
        <w:t xml:space="preserve">  </w:t>
      </w:r>
      <w:r w:rsidRPr="008E2ED8">
        <w:rPr>
          <w:rFonts w:ascii="Arial" w:eastAsia="標楷體" w:hAnsi="標楷體" w:cs="Arial"/>
          <w:color w:val="000000" w:themeColor="text1"/>
          <w:sz w:val="18"/>
          <w:szCs w:val="18"/>
        </w:rPr>
        <w:t xml:space="preserve"> </w:t>
      </w:r>
      <w:r w:rsidRPr="008E2ED8">
        <w:rPr>
          <w:rFonts w:ascii="Arial" w:eastAsia="標楷體" w:hAnsi="標楷體" w:cs="Arial" w:hint="eastAsia"/>
          <w:color w:val="000000" w:themeColor="text1"/>
          <w:sz w:val="18"/>
          <w:szCs w:val="18"/>
        </w:rPr>
        <w:t xml:space="preserve">                           </w:t>
      </w:r>
      <w:r w:rsidRPr="008E2ED8">
        <w:rPr>
          <w:rFonts w:ascii="Arial" w:eastAsia="標楷體" w:hAnsi="標楷體" w:cs="Arial"/>
          <w:color w:val="000000" w:themeColor="text1"/>
          <w:sz w:val="18"/>
          <w:szCs w:val="18"/>
        </w:rPr>
        <w:t xml:space="preserve"> S </w:t>
      </w:r>
      <w:r w:rsidRPr="008E2ED8">
        <w:rPr>
          <w:rFonts w:ascii="Arial" w:eastAsia="標楷體" w:hAnsi="標楷體" w:cs="Arial"/>
          <w:color w:val="000000" w:themeColor="text1"/>
          <w:sz w:val="18"/>
          <w:szCs w:val="18"/>
        </w:rPr>
        <w:t>–</w:t>
      </w:r>
      <w:r w:rsidRPr="008E2ED8">
        <w:rPr>
          <w:rFonts w:ascii="Arial" w:eastAsia="標楷體" w:hAnsi="標楷體" w:cs="Arial"/>
          <w:color w:val="000000" w:themeColor="text1"/>
          <w:sz w:val="18"/>
          <w:szCs w:val="18"/>
        </w:rPr>
        <w:t xml:space="preserve"> B + m P</w:t>
      </w:r>
    </w:p>
    <w:p w14:paraId="4519102C" w14:textId="77777777" w:rsidR="007B06A3" w:rsidRPr="008E2ED8" w:rsidRDefault="007B06A3" w:rsidP="008E2ED8">
      <w:pPr>
        <w:snapToGrid w:val="0"/>
        <w:spacing w:line="200" w:lineRule="atLeast"/>
        <w:ind w:leftChars="100" w:left="960" w:hangingChars="400" w:hanging="72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 xml:space="preserve">    </w:t>
      </w:r>
      <w:r w:rsidRPr="008E2ED8">
        <w:rPr>
          <w:rFonts w:ascii="Arial" w:eastAsia="標楷體" w:hAnsi="標楷體" w:cs="Arial" w:hint="eastAsia"/>
          <w:color w:val="000000" w:themeColor="text1"/>
          <w:sz w:val="18"/>
          <w:szCs w:val="18"/>
        </w:rPr>
        <w:t xml:space="preserve">       </w:t>
      </w:r>
      <w:r w:rsidRPr="008E2ED8">
        <w:rPr>
          <w:rFonts w:ascii="Arial" w:eastAsia="標楷體" w:hAnsi="標楷體" w:cs="Arial"/>
          <w:color w:val="000000" w:themeColor="text1"/>
          <w:sz w:val="18"/>
          <w:szCs w:val="18"/>
        </w:rPr>
        <w:t>標的證券調整後參考價</w:t>
      </w:r>
      <w:r w:rsidRPr="008E2ED8">
        <w:rPr>
          <w:rFonts w:ascii="Arial" w:eastAsia="標楷體" w:hAnsi="Arial" w:cs="Arial"/>
          <w:color w:val="000000" w:themeColor="text1"/>
          <w:sz w:val="18"/>
          <w:szCs w:val="18"/>
        </w:rPr>
        <w:t xml:space="preserve"> </w:t>
      </w: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 xml:space="preserve"> </w:t>
      </w:r>
      <w:r w:rsidRPr="008E2ED8">
        <w:rPr>
          <w:rFonts w:ascii="Arial" w:eastAsia="標楷體" w:hAnsi="標楷體" w:cs="Arial"/>
          <w:color w:val="000000" w:themeColor="text1"/>
          <w:sz w:val="18"/>
          <w:szCs w:val="18"/>
        </w:rPr>
        <w:t xml:space="preserve"> S' = -------------------</w:t>
      </w:r>
    </w:p>
    <w:p w14:paraId="6D8E4FD5" w14:textId="77777777" w:rsidR="007B06A3" w:rsidRPr="008E2ED8" w:rsidRDefault="007B06A3" w:rsidP="008E2ED8">
      <w:pPr>
        <w:snapToGrid w:val="0"/>
        <w:spacing w:line="200" w:lineRule="atLeast"/>
        <w:ind w:leftChars="100" w:left="960" w:hangingChars="400" w:hanging="72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 xml:space="preserve">           </w:t>
      </w:r>
      <w:r w:rsidRPr="008E2ED8">
        <w:rPr>
          <w:rFonts w:ascii="Arial" w:eastAsia="標楷體" w:hAnsi="標楷體" w:cs="Arial" w:hint="eastAsia"/>
          <w:color w:val="000000" w:themeColor="text1"/>
          <w:sz w:val="18"/>
          <w:szCs w:val="18"/>
        </w:rPr>
        <w:t xml:space="preserve">      </w:t>
      </w:r>
      <w:r w:rsidRPr="008E2ED8">
        <w:rPr>
          <w:rFonts w:ascii="Arial" w:eastAsia="標楷體" w:hAnsi="標楷體" w:cs="Arial"/>
          <w:color w:val="000000" w:themeColor="text1"/>
          <w:sz w:val="18"/>
          <w:szCs w:val="18"/>
        </w:rPr>
        <w:t xml:space="preserve"> </w:t>
      </w:r>
      <w:r w:rsidRPr="008E2ED8">
        <w:rPr>
          <w:rFonts w:ascii="Arial" w:eastAsia="標楷體" w:hAnsi="標楷體" w:cs="Arial" w:hint="eastAsia"/>
          <w:color w:val="000000" w:themeColor="text1"/>
          <w:sz w:val="18"/>
          <w:szCs w:val="18"/>
        </w:rPr>
        <w:t xml:space="preserve">                       </w:t>
      </w:r>
      <w:r w:rsidRPr="008E2ED8">
        <w:rPr>
          <w:rFonts w:ascii="Arial" w:eastAsia="標楷體" w:hAnsi="標楷體" w:cs="Arial"/>
          <w:color w:val="000000" w:themeColor="text1"/>
          <w:sz w:val="18"/>
          <w:szCs w:val="18"/>
        </w:rPr>
        <w:t>1 + m + n</w:t>
      </w:r>
    </w:p>
    <w:p w14:paraId="07999525" w14:textId="77777777" w:rsidR="007B06A3" w:rsidRPr="008E2ED8" w:rsidRDefault="007B06A3" w:rsidP="008E2ED8">
      <w:pPr>
        <w:snapToGrid w:val="0"/>
        <w:spacing w:line="200" w:lineRule="atLeast"/>
        <w:ind w:leftChars="332" w:left="797" w:firstLineChars="600" w:firstLine="108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調整後履約價格：</w:t>
      </w:r>
      <w:r w:rsidRPr="008E2ED8">
        <w:rPr>
          <w:rFonts w:ascii="Arial" w:eastAsia="標楷體" w:hAnsi="標楷體" w:cs="Arial"/>
          <w:color w:val="000000" w:themeColor="text1"/>
          <w:sz w:val="18"/>
          <w:szCs w:val="18"/>
        </w:rPr>
        <w:t>K' = K x ( S' / S )</w:t>
      </w:r>
    </w:p>
    <w:p w14:paraId="29FB5C2C" w14:textId="77777777" w:rsidR="007B06A3" w:rsidRPr="008E2ED8" w:rsidRDefault="007B06A3" w:rsidP="008E2ED8">
      <w:pPr>
        <w:snapToGrid w:val="0"/>
        <w:spacing w:line="200" w:lineRule="atLeast"/>
        <w:ind w:leftChars="332" w:left="797" w:firstLineChars="600" w:firstLine="108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調整後行使比例：</w:t>
      </w:r>
      <w:r w:rsidRPr="008E2ED8">
        <w:rPr>
          <w:rFonts w:ascii="Arial" w:eastAsia="標楷體" w:hAnsi="標楷體" w:cs="Arial"/>
          <w:color w:val="000000" w:themeColor="text1"/>
          <w:sz w:val="18"/>
          <w:szCs w:val="18"/>
        </w:rPr>
        <w:t>N' = N x ( S / S' )</w:t>
      </w:r>
    </w:p>
    <w:p w14:paraId="2B0BD283" w14:textId="77777777" w:rsidR="007B06A3" w:rsidRPr="008E2ED8" w:rsidRDefault="007B06A3" w:rsidP="008E2ED8">
      <w:pPr>
        <w:snapToGrid w:val="0"/>
        <w:spacing w:line="200" w:lineRule="atLeast"/>
        <w:ind w:leftChars="245" w:left="948" w:hangingChars="200" w:hanging="36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 xml:space="preserve"> (b) </w:t>
      </w:r>
      <w:r w:rsidRPr="008E2ED8">
        <w:rPr>
          <w:rFonts w:ascii="Arial" w:eastAsia="標楷體" w:hAnsi="標楷體" w:cs="Arial" w:hint="eastAsia"/>
          <w:color w:val="000000" w:themeColor="text1"/>
          <w:sz w:val="18"/>
          <w:szCs w:val="18"/>
        </w:rPr>
        <w:t>標的證券公司若有發放現金股利或遇有資本公積、盈餘公積無償配發股票股利、或者現金增資且現金增資每股認購價</w:t>
      </w:r>
      <w:r w:rsidRPr="008E2ED8">
        <w:rPr>
          <w:rFonts w:ascii="Arial" w:eastAsia="標楷體" w:hAnsi="標楷體" w:cs="Arial" w:hint="eastAsia"/>
          <w:color w:val="000000" w:themeColor="text1"/>
          <w:sz w:val="18"/>
          <w:szCs w:val="18"/>
          <w:u w:val="single"/>
        </w:rPr>
        <w:t>高於或等於</w:t>
      </w:r>
      <w:r w:rsidRPr="008E2ED8">
        <w:rPr>
          <w:rFonts w:ascii="Arial" w:eastAsia="標楷體" w:hAnsi="標楷體" w:cs="Arial" w:hint="eastAsia"/>
          <w:color w:val="000000" w:themeColor="text1"/>
          <w:sz w:val="18"/>
          <w:szCs w:val="18"/>
        </w:rPr>
        <w:t>減除股利參考價〔</w:t>
      </w:r>
      <w:r w:rsidRPr="008E2ED8">
        <w:rPr>
          <w:rFonts w:ascii="Arial" w:eastAsia="標楷體" w:hAnsi="標楷體" w:cs="Arial"/>
          <w:color w:val="000000" w:themeColor="text1"/>
          <w:sz w:val="18"/>
          <w:szCs w:val="18"/>
        </w:rPr>
        <w:t>P&gt;=(S-B)/(1+n)</w:t>
      </w:r>
      <w:r w:rsidRPr="008E2ED8">
        <w:rPr>
          <w:rFonts w:ascii="Arial" w:eastAsia="標楷體" w:hAnsi="標楷體" w:cs="Arial" w:hint="eastAsia"/>
          <w:color w:val="000000" w:themeColor="text1"/>
          <w:sz w:val="18"/>
          <w:szCs w:val="18"/>
        </w:rPr>
        <w:t>〕時，應做如下之調整：</w:t>
      </w:r>
      <w:r w:rsidRPr="008E2ED8">
        <w:rPr>
          <w:rFonts w:ascii="Arial" w:eastAsia="標楷體" w:hAnsi="標楷體" w:cs="Arial"/>
          <w:color w:val="000000" w:themeColor="text1"/>
          <w:sz w:val="18"/>
          <w:szCs w:val="18"/>
        </w:rPr>
        <w:br/>
      </w:r>
      <w:r w:rsidRPr="008E2ED8">
        <w:rPr>
          <w:rFonts w:ascii="Arial" w:eastAsia="標楷體" w:hAnsi="標楷體" w:cs="Arial" w:hint="eastAsia"/>
          <w:color w:val="000000" w:themeColor="text1"/>
          <w:sz w:val="18"/>
          <w:szCs w:val="18"/>
        </w:rPr>
        <w:t xml:space="preserve">  </w:t>
      </w:r>
      <w:r w:rsidRPr="008E2ED8">
        <w:rPr>
          <w:rFonts w:ascii="Arial" w:eastAsia="標楷體" w:hAnsi="標楷體" w:cs="Arial" w:hint="eastAsia"/>
          <w:color w:val="000000" w:themeColor="text1"/>
          <w:sz w:val="18"/>
          <w:szCs w:val="18"/>
        </w:rPr>
        <w:t>除權息參考價通用計算公式如下：</w:t>
      </w:r>
    </w:p>
    <w:p w14:paraId="7F97ACD9" w14:textId="77777777" w:rsidR="007B06A3" w:rsidRPr="008E2ED8" w:rsidRDefault="007B06A3" w:rsidP="008E2ED8">
      <w:pPr>
        <w:snapToGrid w:val="0"/>
        <w:spacing w:line="200" w:lineRule="atLeast"/>
        <w:ind w:leftChars="100" w:left="960" w:hangingChars="400" w:hanging="72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 xml:space="preserve">         </w:t>
      </w:r>
      <w:r w:rsidRPr="008E2ED8">
        <w:rPr>
          <w:rFonts w:ascii="Arial" w:eastAsia="標楷體" w:hAnsi="標楷體" w:cs="Arial" w:hint="eastAsia"/>
          <w:color w:val="000000" w:themeColor="text1"/>
          <w:sz w:val="18"/>
          <w:szCs w:val="18"/>
        </w:rPr>
        <w:t xml:space="preserve">      </w:t>
      </w:r>
      <w:r w:rsidRPr="008E2ED8">
        <w:rPr>
          <w:rFonts w:ascii="Arial" w:eastAsia="標楷體" w:hAnsi="標楷體" w:cs="Arial"/>
          <w:color w:val="000000" w:themeColor="text1"/>
          <w:sz w:val="18"/>
          <w:szCs w:val="18"/>
        </w:rPr>
        <w:t xml:space="preserve"> </w:t>
      </w:r>
      <w:r w:rsidRPr="008E2ED8">
        <w:rPr>
          <w:rFonts w:ascii="Arial" w:eastAsia="標楷體" w:hAnsi="標楷體" w:cs="Arial" w:hint="eastAsia"/>
          <w:color w:val="000000" w:themeColor="text1"/>
          <w:sz w:val="18"/>
          <w:szCs w:val="18"/>
        </w:rPr>
        <w:t xml:space="preserve">                        </w:t>
      </w:r>
      <w:r w:rsidRPr="008E2ED8">
        <w:rPr>
          <w:rFonts w:ascii="Arial" w:eastAsia="標楷體" w:hAnsi="標楷體" w:cs="Arial"/>
          <w:color w:val="000000" w:themeColor="text1"/>
          <w:sz w:val="18"/>
          <w:szCs w:val="18"/>
        </w:rPr>
        <w:t xml:space="preserve">S </w:t>
      </w:r>
      <w:r w:rsidRPr="008E2ED8">
        <w:rPr>
          <w:rFonts w:ascii="Arial" w:eastAsia="標楷體" w:hAnsi="標楷體" w:cs="Arial"/>
          <w:color w:val="000000" w:themeColor="text1"/>
          <w:sz w:val="18"/>
          <w:szCs w:val="18"/>
        </w:rPr>
        <w:t>–</w:t>
      </w:r>
      <w:r w:rsidRPr="008E2ED8">
        <w:rPr>
          <w:rFonts w:ascii="Arial" w:eastAsia="標楷體" w:hAnsi="標楷體" w:cs="Arial"/>
          <w:color w:val="000000" w:themeColor="text1"/>
          <w:sz w:val="18"/>
          <w:szCs w:val="18"/>
        </w:rPr>
        <w:t xml:space="preserve"> B</w:t>
      </w:r>
    </w:p>
    <w:p w14:paraId="78CF090C" w14:textId="77777777" w:rsidR="007B06A3" w:rsidRPr="008E2ED8" w:rsidRDefault="007B06A3" w:rsidP="008E2ED8">
      <w:pPr>
        <w:snapToGrid w:val="0"/>
        <w:spacing w:line="200" w:lineRule="atLeast"/>
        <w:ind w:leftChars="100" w:left="960" w:hangingChars="400" w:hanging="72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 xml:space="preserve">    </w:t>
      </w:r>
      <w:r w:rsidRPr="008E2ED8">
        <w:rPr>
          <w:rFonts w:ascii="Arial" w:eastAsia="標楷體" w:hAnsi="標楷體" w:cs="Arial" w:hint="eastAsia"/>
          <w:color w:val="000000" w:themeColor="text1"/>
          <w:sz w:val="18"/>
          <w:szCs w:val="18"/>
        </w:rPr>
        <w:t xml:space="preserve">       </w:t>
      </w:r>
      <w:r w:rsidRPr="008E2ED8">
        <w:rPr>
          <w:rFonts w:ascii="Arial" w:eastAsia="標楷體" w:hAnsi="標楷體" w:cs="Arial"/>
          <w:color w:val="000000" w:themeColor="text1"/>
          <w:sz w:val="18"/>
          <w:szCs w:val="18"/>
        </w:rPr>
        <w:t>標的證券調整後參考價</w:t>
      </w:r>
      <w:r w:rsidRPr="008E2ED8">
        <w:rPr>
          <w:rFonts w:ascii="Arial" w:eastAsia="標楷體" w:hAnsi="Arial" w:cs="Arial"/>
          <w:color w:val="000000" w:themeColor="text1"/>
          <w:sz w:val="18"/>
          <w:szCs w:val="18"/>
        </w:rPr>
        <w:t xml:space="preserve"> </w:t>
      </w:r>
      <w:r w:rsidRPr="008E2ED8">
        <w:rPr>
          <w:rFonts w:ascii="Arial" w:eastAsia="標楷體" w:hAnsi="標楷體" w:cs="Arial"/>
          <w:color w:val="000000" w:themeColor="text1"/>
          <w:sz w:val="18"/>
          <w:szCs w:val="18"/>
        </w:rPr>
        <w:t>：</w:t>
      </w:r>
      <w:r w:rsidRPr="008E2ED8">
        <w:rPr>
          <w:rFonts w:ascii="Arial" w:eastAsia="標楷體" w:hAnsi="標楷體" w:cs="Arial"/>
          <w:color w:val="000000" w:themeColor="text1"/>
          <w:sz w:val="18"/>
          <w:szCs w:val="18"/>
        </w:rPr>
        <w:t xml:space="preserve"> S' = ---------------</w:t>
      </w:r>
    </w:p>
    <w:p w14:paraId="399B1A41" w14:textId="77777777" w:rsidR="007B06A3" w:rsidRPr="008E2ED8" w:rsidRDefault="007B06A3" w:rsidP="008E2ED8">
      <w:pPr>
        <w:snapToGrid w:val="0"/>
        <w:spacing w:line="200" w:lineRule="atLeast"/>
        <w:ind w:leftChars="100" w:left="960" w:hangingChars="400" w:hanging="72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 xml:space="preserve">         </w:t>
      </w:r>
      <w:r w:rsidRPr="008E2ED8">
        <w:rPr>
          <w:rFonts w:ascii="Arial" w:eastAsia="標楷體" w:hAnsi="標楷體" w:cs="Arial" w:hint="eastAsia"/>
          <w:color w:val="000000" w:themeColor="text1"/>
          <w:sz w:val="18"/>
          <w:szCs w:val="18"/>
        </w:rPr>
        <w:t xml:space="preserve">                             </w:t>
      </w:r>
      <w:r w:rsidRPr="008E2ED8">
        <w:rPr>
          <w:rFonts w:ascii="Arial" w:eastAsia="標楷體" w:hAnsi="標楷體" w:cs="Arial"/>
          <w:color w:val="000000" w:themeColor="text1"/>
          <w:sz w:val="18"/>
          <w:szCs w:val="18"/>
        </w:rPr>
        <w:t xml:space="preserve"> </w:t>
      </w:r>
      <w:r w:rsidRPr="008E2ED8">
        <w:rPr>
          <w:rFonts w:ascii="Arial" w:eastAsia="標楷體" w:hAnsi="標楷體" w:cs="Arial" w:hint="eastAsia"/>
          <w:color w:val="000000" w:themeColor="text1"/>
          <w:sz w:val="18"/>
          <w:szCs w:val="18"/>
        </w:rPr>
        <w:t xml:space="preserve">  </w:t>
      </w:r>
      <w:r w:rsidRPr="008E2ED8">
        <w:rPr>
          <w:rFonts w:ascii="Arial" w:eastAsia="標楷體" w:hAnsi="標楷體" w:cs="Arial"/>
          <w:color w:val="000000" w:themeColor="text1"/>
          <w:sz w:val="18"/>
          <w:szCs w:val="18"/>
        </w:rPr>
        <w:t>1 + n</w:t>
      </w:r>
    </w:p>
    <w:p w14:paraId="0E4B0410" w14:textId="77777777" w:rsidR="007B06A3" w:rsidRPr="008E2ED8" w:rsidRDefault="007B06A3" w:rsidP="008E2ED8">
      <w:pPr>
        <w:snapToGrid w:val="0"/>
        <w:spacing w:line="200" w:lineRule="atLeast"/>
        <w:ind w:leftChars="332" w:left="797" w:firstLineChars="550" w:firstLine="99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調整後履約價格：</w:t>
      </w:r>
      <w:r w:rsidRPr="008E2ED8">
        <w:rPr>
          <w:rFonts w:ascii="Arial" w:eastAsia="標楷體" w:hAnsi="標楷體" w:cs="Arial"/>
          <w:color w:val="000000" w:themeColor="text1"/>
          <w:sz w:val="18"/>
          <w:szCs w:val="18"/>
        </w:rPr>
        <w:t>K' = K x ( S' / S )</w:t>
      </w:r>
    </w:p>
    <w:p w14:paraId="6EE7821F" w14:textId="77777777" w:rsidR="007B06A3" w:rsidRPr="008E2ED8" w:rsidRDefault="007B06A3" w:rsidP="006E0A80">
      <w:pPr>
        <w:snapToGrid w:val="0"/>
        <w:spacing w:line="200" w:lineRule="atLeast"/>
        <w:ind w:firstLineChars="1000" w:firstLine="180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調整後行使比例：</w:t>
      </w:r>
      <w:r w:rsidRPr="008E2ED8">
        <w:rPr>
          <w:rFonts w:ascii="Arial" w:eastAsia="標楷體" w:hAnsi="標楷體" w:cs="Arial"/>
          <w:color w:val="000000" w:themeColor="text1"/>
          <w:sz w:val="18"/>
          <w:szCs w:val="18"/>
        </w:rPr>
        <w:t>N' = N x ( S / S' )</w:t>
      </w:r>
    </w:p>
    <w:p w14:paraId="4277D4D3" w14:textId="77777777" w:rsidR="007B06A3" w:rsidRPr="008E2ED8" w:rsidRDefault="007B06A3" w:rsidP="008E2ED8">
      <w:pPr>
        <w:snapToGrid w:val="0"/>
        <w:spacing w:line="200" w:lineRule="atLeast"/>
        <w:ind w:leftChars="245" w:left="768" w:hangingChars="100" w:hanging="18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lastRenderedPageBreak/>
        <w:t>2.</w:t>
      </w:r>
      <w:r w:rsidRPr="008E2ED8">
        <w:rPr>
          <w:rFonts w:ascii="Arial" w:eastAsia="標楷體" w:hAnsi="標楷體" w:cs="Arial" w:hint="eastAsia"/>
          <w:color w:val="000000" w:themeColor="text1"/>
          <w:sz w:val="18"/>
          <w:szCs w:val="18"/>
        </w:rPr>
        <w:t>標的證券公司減資</w:t>
      </w:r>
      <w:r w:rsidRPr="008E2ED8">
        <w:rPr>
          <w:rFonts w:ascii="Arial" w:eastAsia="標楷體" w:hAnsi="標楷體" w:cs="Arial" w:hint="eastAsia"/>
          <w:bCs/>
          <w:color w:val="000000" w:themeColor="text1"/>
          <w:sz w:val="18"/>
          <w:szCs w:val="18"/>
        </w:rPr>
        <w:t>或合併</w:t>
      </w:r>
      <w:r w:rsidRPr="008E2ED8">
        <w:rPr>
          <w:rFonts w:ascii="Arial" w:eastAsia="標楷體" w:hAnsi="標楷體" w:cs="Arial" w:hint="eastAsia"/>
          <w:color w:val="000000" w:themeColor="text1"/>
          <w:sz w:val="18"/>
          <w:szCs w:val="18"/>
          <w:u w:val="single"/>
        </w:rPr>
        <w:t>、收購及股份轉換</w:t>
      </w:r>
      <w:r w:rsidRPr="008E2ED8">
        <w:rPr>
          <w:rFonts w:ascii="Arial" w:eastAsia="標楷體" w:hAnsi="標楷體" w:cs="Arial" w:hint="eastAsia"/>
          <w:bCs/>
          <w:color w:val="000000" w:themeColor="text1"/>
          <w:sz w:val="18"/>
          <w:szCs w:val="18"/>
        </w:rPr>
        <w:t>（標的證券為消滅</w:t>
      </w:r>
      <w:r w:rsidRPr="008E2ED8">
        <w:rPr>
          <w:rFonts w:ascii="Arial" w:eastAsia="標楷體" w:hAnsi="標楷體" w:cs="Arial" w:hint="eastAsia"/>
          <w:color w:val="000000" w:themeColor="text1"/>
          <w:sz w:val="18"/>
          <w:szCs w:val="18"/>
          <w:u w:val="single"/>
        </w:rPr>
        <w:t>、下市</w:t>
      </w:r>
      <w:r w:rsidRPr="008E2ED8">
        <w:rPr>
          <w:rFonts w:ascii="Arial" w:eastAsia="標楷體" w:hAnsi="標楷體" w:cs="Arial" w:hint="eastAsia"/>
          <w:bCs/>
          <w:color w:val="000000" w:themeColor="text1"/>
          <w:sz w:val="18"/>
          <w:szCs w:val="18"/>
        </w:rPr>
        <w:t>公司、且存續公司為權證可發行標的</w:t>
      </w:r>
      <w:r w:rsidRPr="008E2ED8">
        <w:rPr>
          <w:rFonts w:ascii="Arial" w:eastAsia="標楷體" w:hAnsi="標楷體" w:cs="Arial"/>
          <w:bCs/>
          <w:color w:val="000000" w:themeColor="text1"/>
          <w:sz w:val="18"/>
          <w:szCs w:val="18"/>
          <w:u w:val="single"/>
        </w:rPr>
        <w:t>;</w:t>
      </w:r>
      <w:r w:rsidRPr="008E2ED8">
        <w:rPr>
          <w:rFonts w:ascii="Arial" w:eastAsia="標楷體" w:hAnsi="標楷體" w:cs="Arial" w:hint="eastAsia"/>
          <w:bCs/>
          <w:color w:val="000000" w:themeColor="text1"/>
          <w:sz w:val="18"/>
          <w:szCs w:val="18"/>
          <w:u w:val="single"/>
        </w:rPr>
        <w:t>或存續公司非權證可發行標的，</w:t>
      </w:r>
      <w:r w:rsidRPr="008E2ED8">
        <w:rPr>
          <w:rFonts w:ascii="Arial" w:eastAsia="標楷體" w:hAnsi="標楷體" w:cs="Arial" w:hint="eastAsia"/>
          <w:color w:val="000000" w:themeColor="text1"/>
          <w:sz w:val="18"/>
          <w:szCs w:val="18"/>
          <w:u w:val="single"/>
        </w:rPr>
        <w:t>但為國內上市金融控股公司，或為直接持有原標的證券發行公司百分之百已發行股份之國內上市投資控股公司</w:t>
      </w:r>
      <w:r w:rsidRPr="008E2ED8">
        <w:rPr>
          <w:rFonts w:ascii="Arial" w:eastAsia="標楷體" w:hAnsi="標楷體" w:cs="Arial" w:hint="eastAsia"/>
          <w:bCs/>
          <w:color w:val="000000" w:themeColor="text1"/>
          <w:sz w:val="18"/>
          <w:szCs w:val="18"/>
        </w:rPr>
        <w:t>）</w:t>
      </w:r>
      <w:r w:rsidRPr="008E2ED8">
        <w:rPr>
          <w:rFonts w:ascii="Arial" w:eastAsia="標楷體" w:hAnsi="標楷體" w:cs="Arial" w:hint="eastAsia"/>
          <w:color w:val="000000" w:themeColor="text1"/>
          <w:sz w:val="18"/>
          <w:szCs w:val="18"/>
        </w:rPr>
        <w:t>之調整公式：</w:t>
      </w:r>
      <w:r w:rsidRPr="008E2ED8">
        <w:rPr>
          <w:rFonts w:ascii="Arial" w:eastAsia="標楷體" w:hAnsi="標楷體" w:cs="Arial"/>
          <w:color w:val="000000" w:themeColor="text1"/>
          <w:sz w:val="18"/>
          <w:szCs w:val="18"/>
        </w:rPr>
        <w:t xml:space="preserve"> </w:t>
      </w:r>
    </w:p>
    <w:p w14:paraId="0A2C7C58" w14:textId="77777777" w:rsidR="007B06A3" w:rsidRPr="008E2ED8" w:rsidRDefault="007B06A3" w:rsidP="008E2ED8">
      <w:pPr>
        <w:snapToGrid w:val="0"/>
        <w:spacing w:line="200" w:lineRule="atLeast"/>
        <w:ind w:leftChars="100" w:left="240" w:firstLineChars="1700" w:firstLine="306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 xml:space="preserve">S' = ( S </w:t>
      </w:r>
      <w:r w:rsidRPr="008E2ED8">
        <w:rPr>
          <w:rFonts w:ascii="Arial" w:eastAsia="標楷體" w:hAnsi="標楷體" w:cs="Arial"/>
          <w:color w:val="000000" w:themeColor="text1"/>
          <w:sz w:val="18"/>
          <w:szCs w:val="18"/>
        </w:rPr>
        <w:t>–</w:t>
      </w:r>
      <w:r w:rsidRPr="008E2ED8">
        <w:rPr>
          <w:rFonts w:ascii="Arial" w:eastAsia="標楷體" w:hAnsi="標楷體" w:cs="Arial"/>
          <w:color w:val="000000" w:themeColor="text1"/>
          <w:sz w:val="18"/>
          <w:szCs w:val="18"/>
        </w:rPr>
        <w:t xml:space="preserve"> d ) x b</w:t>
      </w:r>
    </w:p>
    <w:p w14:paraId="67AAFFB4" w14:textId="77777777" w:rsidR="007B06A3" w:rsidRPr="008E2ED8" w:rsidRDefault="007B06A3" w:rsidP="008E2ED8">
      <w:pPr>
        <w:snapToGrid w:val="0"/>
        <w:spacing w:line="200" w:lineRule="atLeast"/>
        <w:ind w:leftChars="100" w:left="240" w:firstLineChars="900" w:firstLine="162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調整後履約價格：</w:t>
      </w:r>
      <w:r w:rsidRPr="008E2ED8">
        <w:rPr>
          <w:rFonts w:ascii="Arial" w:eastAsia="標楷體" w:hAnsi="標楷體" w:cs="Arial"/>
          <w:color w:val="000000" w:themeColor="text1"/>
          <w:sz w:val="18"/>
          <w:szCs w:val="18"/>
        </w:rPr>
        <w:t>K' = K x S' / S</w:t>
      </w:r>
    </w:p>
    <w:p w14:paraId="26207E06" w14:textId="77777777" w:rsidR="007B06A3" w:rsidRPr="008E2ED8" w:rsidRDefault="007B06A3" w:rsidP="008E2ED8">
      <w:pPr>
        <w:snapToGrid w:val="0"/>
        <w:spacing w:line="200" w:lineRule="atLeast"/>
        <w:ind w:leftChars="100" w:left="240" w:firstLineChars="900" w:firstLine="162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調整後行使比例：</w:t>
      </w:r>
      <w:r w:rsidRPr="008E2ED8">
        <w:rPr>
          <w:rFonts w:ascii="Arial" w:eastAsia="標楷體" w:hAnsi="標楷體" w:cs="Arial"/>
          <w:color w:val="000000" w:themeColor="text1"/>
          <w:sz w:val="18"/>
          <w:szCs w:val="18"/>
        </w:rPr>
        <w:t>N' = N x S / S'</w:t>
      </w:r>
    </w:p>
    <w:p w14:paraId="478F79A8" w14:textId="77777777" w:rsidR="007B06A3" w:rsidRDefault="007B06A3" w:rsidP="008E2ED8">
      <w:pPr>
        <w:snapToGrid w:val="0"/>
        <w:spacing w:line="200" w:lineRule="atLeast"/>
        <w:ind w:leftChars="361" w:left="956" w:hangingChars="50" w:hanging="9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其中，</w:t>
      </w:r>
      <w:r w:rsidRPr="008E2ED8">
        <w:rPr>
          <w:rFonts w:ascii="Arial" w:eastAsia="標楷體" w:hAnsi="標楷體" w:cs="Arial" w:hint="eastAsia"/>
          <w:color w:val="000000" w:themeColor="text1"/>
          <w:sz w:val="18"/>
          <w:szCs w:val="18"/>
        </w:rPr>
        <w:t>b</w:t>
      </w:r>
      <w:r w:rsidRPr="008E2ED8">
        <w:rPr>
          <w:rFonts w:ascii="Arial" w:eastAsia="標楷體" w:hAnsi="標楷體" w:cs="Arial" w:hint="eastAsia"/>
          <w:color w:val="000000" w:themeColor="text1"/>
          <w:sz w:val="18"/>
          <w:szCs w:val="18"/>
        </w:rPr>
        <w:t>代表減資</w:t>
      </w:r>
      <w:r w:rsidRPr="008E2ED8">
        <w:rPr>
          <w:rFonts w:ascii="Arial" w:eastAsia="標楷體" w:hAnsi="標楷體" w:cs="Arial" w:hint="eastAsia"/>
          <w:bCs/>
          <w:color w:val="000000" w:themeColor="text1"/>
          <w:sz w:val="18"/>
          <w:szCs w:val="18"/>
        </w:rPr>
        <w:t>、</w:t>
      </w:r>
      <w:r w:rsidRPr="008E2ED8">
        <w:rPr>
          <w:rFonts w:ascii="Arial" w:eastAsia="標楷體" w:hAnsi="標楷體" w:cs="Arial" w:hint="eastAsia"/>
          <w:color w:val="000000" w:themeColor="text1"/>
          <w:sz w:val="18"/>
          <w:szCs w:val="18"/>
        </w:rPr>
        <w:t>合併</w:t>
      </w:r>
      <w:r w:rsidRPr="008E2ED8">
        <w:rPr>
          <w:rFonts w:ascii="Arial" w:eastAsia="標楷體" w:hAnsi="標楷體" w:cs="Arial" w:hint="eastAsia"/>
          <w:color w:val="000000" w:themeColor="text1"/>
          <w:sz w:val="18"/>
          <w:szCs w:val="18"/>
          <w:u w:val="single"/>
        </w:rPr>
        <w:t>、收購及股份轉換之</w:t>
      </w:r>
      <w:r w:rsidRPr="008E2ED8">
        <w:rPr>
          <w:rFonts w:ascii="Arial" w:eastAsia="標楷體" w:hAnsi="標楷體" w:cs="Arial" w:hint="eastAsia"/>
          <w:color w:val="000000" w:themeColor="text1"/>
          <w:sz w:val="18"/>
          <w:szCs w:val="18"/>
        </w:rPr>
        <w:t>換股比例，每</w:t>
      </w:r>
      <w:r w:rsidRPr="008E2ED8">
        <w:rPr>
          <w:rFonts w:ascii="Arial" w:eastAsia="標楷體" w:hAnsi="標楷體" w:cs="Arial" w:hint="eastAsia"/>
          <w:color w:val="000000" w:themeColor="text1"/>
          <w:sz w:val="18"/>
          <w:szCs w:val="18"/>
        </w:rPr>
        <w:t>b</w:t>
      </w:r>
      <w:r w:rsidRPr="008E2ED8">
        <w:rPr>
          <w:rFonts w:ascii="Arial" w:eastAsia="標楷體" w:hAnsi="標楷體" w:cs="Arial" w:hint="eastAsia"/>
          <w:color w:val="000000" w:themeColor="text1"/>
          <w:sz w:val="18"/>
          <w:szCs w:val="18"/>
        </w:rPr>
        <w:t>股舊股換</w:t>
      </w:r>
      <w:r w:rsidRPr="008E2ED8">
        <w:rPr>
          <w:rFonts w:ascii="Arial" w:eastAsia="標楷體" w:hAnsi="標楷體" w:cs="Arial"/>
          <w:color w:val="000000" w:themeColor="text1"/>
          <w:sz w:val="18"/>
          <w:szCs w:val="18"/>
        </w:rPr>
        <w:t>1</w:t>
      </w:r>
      <w:r w:rsidRPr="008E2ED8">
        <w:rPr>
          <w:rFonts w:ascii="Arial" w:eastAsia="標楷體" w:hAnsi="標楷體" w:cs="Arial" w:hint="eastAsia"/>
          <w:color w:val="000000" w:themeColor="text1"/>
          <w:sz w:val="18"/>
          <w:szCs w:val="18"/>
        </w:rPr>
        <w:t>股新股，</w:t>
      </w:r>
      <w:r w:rsidRPr="008E2ED8">
        <w:rPr>
          <w:rFonts w:ascii="Arial" w:eastAsia="標楷體" w:hAnsi="標楷體" w:cs="Arial" w:hint="eastAsia"/>
          <w:color w:val="000000" w:themeColor="text1"/>
          <w:sz w:val="18"/>
          <w:szCs w:val="18"/>
        </w:rPr>
        <w:t>d</w:t>
      </w:r>
      <w:r w:rsidRPr="008E2ED8">
        <w:rPr>
          <w:rFonts w:ascii="Arial" w:eastAsia="標楷體" w:hAnsi="標楷體" w:cs="Arial" w:hint="eastAsia"/>
          <w:color w:val="000000" w:themeColor="text1"/>
          <w:sz w:val="18"/>
          <w:szCs w:val="18"/>
        </w:rPr>
        <w:t>代表每</w:t>
      </w:r>
      <w:r w:rsidRPr="008E2ED8">
        <w:rPr>
          <w:rFonts w:ascii="Arial" w:eastAsia="標楷體" w:hAnsi="標楷體" w:cs="Arial"/>
          <w:color w:val="000000" w:themeColor="text1"/>
          <w:sz w:val="18"/>
          <w:szCs w:val="18"/>
        </w:rPr>
        <w:t>1</w:t>
      </w:r>
      <w:r w:rsidRPr="008E2ED8">
        <w:rPr>
          <w:rFonts w:ascii="Arial" w:eastAsia="標楷體" w:hAnsi="標楷體" w:cs="Arial" w:hint="eastAsia"/>
          <w:color w:val="000000" w:themeColor="text1"/>
          <w:sz w:val="18"/>
          <w:szCs w:val="18"/>
        </w:rPr>
        <w:t>股舊股退還股款</w:t>
      </w:r>
    </w:p>
    <w:p w14:paraId="663AF4D3" w14:textId="77777777" w:rsidR="006E0A80" w:rsidRPr="006E0A80" w:rsidRDefault="006E0A80" w:rsidP="006E0A80">
      <w:pPr>
        <w:snapToGrid w:val="0"/>
        <w:spacing w:line="200" w:lineRule="atLeast"/>
        <w:ind w:firstLineChars="350" w:firstLine="630"/>
        <w:jc w:val="both"/>
        <w:rPr>
          <w:rFonts w:ascii="Arial" w:eastAsia="標楷體" w:hAnsi="標楷體" w:cs="Arial"/>
          <w:color w:val="000000" w:themeColor="text1"/>
          <w:sz w:val="18"/>
          <w:szCs w:val="18"/>
        </w:rPr>
      </w:pPr>
      <w:r>
        <w:rPr>
          <w:rFonts w:ascii="Arial" w:eastAsia="標楷體" w:hAnsi="標楷體" w:cs="Arial" w:hint="eastAsia"/>
          <w:color w:val="000000" w:themeColor="text1"/>
          <w:sz w:val="18"/>
          <w:szCs w:val="18"/>
        </w:rPr>
        <w:t>3.</w:t>
      </w:r>
      <w:r w:rsidRPr="006E0A80">
        <w:rPr>
          <w:rFonts w:ascii="Arial" w:eastAsia="標楷體" w:hAnsi="標楷體" w:cs="Arial" w:hint="eastAsia"/>
          <w:color w:val="000000" w:themeColor="text1"/>
          <w:sz w:val="18"/>
          <w:szCs w:val="18"/>
        </w:rPr>
        <w:t>標的證券公司變更股票面額之調整公式：</w:t>
      </w:r>
      <w:r w:rsidRPr="006E0A80">
        <w:rPr>
          <w:rFonts w:ascii="Arial" w:eastAsia="標楷體" w:hAnsi="標楷體" w:cs="Arial" w:hint="eastAsia"/>
          <w:color w:val="000000" w:themeColor="text1"/>
          <w:sz w:val="18"/>
          <w:szCs w:val="18"/>
        </w:rPr>
        <w:t xml:space="preserve"> </w:t>
      </w:r>
    </w:p>
    <w:p w14:paraId="7ECF37D6" w14:textId="77777777" w:rsidR="006E0A80" w:rsidRPr="006E0A80" w:rsidRDefault="006E0A80" w:rsidP="006E0A80">
      <w:pPr>
        <w:snapToGrid w:val="0"/>
        <w:spacing w:line="200" w:lineRule="atLeast"/>
        <w:ind w:leftChars="361" w:left="956" w:hangingChars="50" w:hanging="90"/>
        <w:jc w:val="both"/>
        <w:rPr>
          <w:rFonts w:ascii="Arial" w:eastAsia="標楷體" w:hAnsi="標楷體" w:cs="Arial"/>
          <w:color w:val="000000" w:themeColor="text1"/>
          <w:sz w:val="18"/>
          <w:szCs w:val="18"/>
        </w:rPr>
      </w:pPr>
      <w:r>
        <w:rPr>
          <w:rFonts w:ascii="Arial" w:eastAsia="標楷體" w:hAnsi="標楷體" w:cs="Arial"/>
          <w:color w:val="000000" w:themeColor="text1"/>
          <w:sz w:val="18"/>
          <w:szCs w:val="18"/>
        </w:rPr>
        <w:t xml:space="preserve"> </w:t>
      </w:r>
      <w:r>
        <w:rPr>
          <w:rFonts w:ascii="Arial" w:eastAsia="標楷體" w:hAnsi="標楷體" w:cs="Arial" w:hint="eastAsia"/>
          <w:color w:val="000000" w:themeColor="text1"/>
          <w:sz w:val="18"/>
          <w:szCs w:val="18"/>
        </w:rPr>
        <w:t xml:space="preserve">  </w:t>
      </w:r>
      <w:r w:rsidR="00FE6265">
        <w:rPr>
          <w:rFonts w:ascii="Arial" w:eastAsia="標楷體" w:hAnsi="標楷體" w:cs="Arial" w:hint="eastAsia"/>
          <w:color w:val="000000" w:themeColor="text1"/>
          <w:sz w:val="18"/>
          <w:szCs w:val="18"/>
        </w:rPr>
        <w:t xml:space="preserve">   </w:t>
      </w:r>
      <w:r w:rsidRPr="006E0A80">
        <w:rPr>
          <w:rFonts w:ascii="Arial" w:eastAsia="標楷體" w:hAnsi="標楷體" w:cs="Arial"/>
          <w:color w:val="000000" w:themeColor="text1"/>
          <w:sz w:val="18"/>
          <w:szCs w:val="18"/>
        </w:rPr>
        <w:t>S' = S x ( PV' / PV )</w:t>
      </w:r>
    </w:p>
    <w:p w14:paraId="6E9E103D" w14:textId="77777777" w:rsidR="006E0A80" w:rsidRPr="006E0A80" w:rsidRDefault="006E0A80" w:rsidP="00FE6265">
      <w:pPr>
        <w:snapToGrid w:val="0"/>
        <w:spacing w:line="200" w:lineRule="atLeast"/>
        <w:ind w:leftChars="411" w:left="986" w:firstLineChars="250" w:firstLine="450"/>
        <w:jc w:val="both"/>
        <w:rPr>
          <w:rFonts w:ascii="Arial" w:eastAsia="標楷體" w:hAnsi="標楷體" w:cs="Arial"/>
          <w:color w:val="000000" w:themeColor="text1"/>
          <w:sz w:val="18"/>
          <w:szCs w:val="18"/>
        </w:rPr>
      </w:pPr>
      <w:r w:rsidRPr="006E0A80">
        <w:rPr>
          <w:rFonts w:ascii="Arial" w:eastAsia="標楷體" w:hAnsi="標楷體" w:cs="Arial"/>
          <w:color w:val="000000" w:themeColor="text1"/>
          <w:sz w:val="18"/>
          <w:szCs w:val="18"/>
        </w:rPr>
        <w:t>K' = K x ( S' / S )</w:t>
      </w:r>
    </w:p>
    <w:p w14:paraId="40E1EBF9" w14:textId="77777777" w:rsidR="006E0A80" w:rsidRDefault="006E0A80" w:rsidP="00FE6265">
      <w:pPr>
        <w:snapToGrid w:val="0"/>
        <w:spacing w:line="200" w:lineRule="atLeast"/>
        <w:ind w:leftChars="411" w:left="986" w:firstLineChars="250" w:firstLine="450"/>
        <w:jc w:val="both"/>
        <w:rPr>
          <w:rFonts w:ascii="Arial" w:eastAsia="標楷體" w:hAnsi="標楷體" w:cs="Arial"/>
          <w:color w:val="000000" w:themeColor="text1"/>
          <w:sz w:val="18"/>
          <w:szCs w:val="18"/>
        </w:rPr>
      </w:pPr>
      <w:r w:rsidRPr="006E0A80">
        <w:rPr>
          <w:rFonts w:ascii="Arial" w:eastAsia="標楷體" w:hAnsi="標楷體" w:cs="Arial"/>
          <w:color w:val="000000" w:themeColor="text1"/>
          <w:sz w:val="18"/>
          <w:szCs w:val="18"/>
        </w:rPr>
        <w:t>N' = N x ( S / S' )</w:t>
      </w:r>
    </w:p>
    <w:p w14:paraId="36267404" w14:textId="77777777" w:rsidR="00506943" w:rsidRPr="00506943" w:rsidRDefault="00506943" w:rsidP="00506943">
      <w:pPr>
        <w:snapToGrid w:val="0"/>
        <w:spacing w:line="200" w:lineRule="atLeast"/>
        <w:ind w:firstLineChars="350" w:firstLine="630"/>
        <w:jc w:val="both"/>
        <w:rPr>
          <w:rFonts w:ascii="Arial" w:eastAsia="標楷體" w:hAnsi="標楷體" w:cs="Arial"/>
          <w:color w:val="000000" w:themeColor="text1"/>
          <w:sz w:val="18"/>
          <w:szCs w:val="18"/>
        </w:rPr>
      </w:pPr>
      <w:r w:rsidRPr="00506943">
        <w:rPr>
          <w:rFonts w:ascii="Arial" w:eastAsia="標楷體" w:hAnsi="標楷體" w:cs="Arial" w:hint="eastAsia"/>
          <w:color w:val="000000" w:themeColor="text1"/>
          <w:sz w:val="18"/>
          <w:szCs w:val="18"/>
        </w:rPr>
        <w:t>(</w:t>
      </w:r>
      <w:r w:rsidRPr="00506943">
        <w:rPr>
          <w:rFonts w:ascii="Arial" w:eastAsia="標楷體" w:hAnsi="標楷體" w:cs="Arial" w:hint="eastAsia"/>
          <w:color w:val="000000" w:themeColor="text1"/>
          <w:sz w:val="18"/>
          <w:szCs w:val="18"/>
        </w:rPr>
        <w:t>二</w:t>
      </w:r>
      <w:r w:rsidRPr="00506943">
        <w:rPr>
          <w:rFonts w:ascii="Arial" w:eastAsia="標楷體" w:hAnsi="標楷體" w:cs="Arial" w:hint="eastAsia"/>
          <w:color w:val="000000" w:themeColor="text1"/>
          <w:sz w:val="18"/>
          <w:szCs w:val="18"/>
        </w:rPr>
        <w:t xml:space="preserve">) </w:t>
      </w:r>
      <w:r w:rsidRPr="00506943">
        <w:rPr>
          <w:rFonts w:ascii="Arial" w:eastAsia="標楷體" w:hAnsi="標楷體" w:cs="Arial" w:hint="eastAsia"/>
          <w:color w:val="000000" w:themeColor="text1"/>
          <w:sz w:val="18"/>
          <w:szCs w:val="18"/>
        </w:rPr>
        <w:t>標的證券為指數股票型基金</w:t>
      </w:r>
      <w:r w:rsidRPr="00506943">
        <w:rPr>
          <w:rFonts w:ascii="Arial" w:eastAsia="標楷體" w:hAnsi="標楷體" w:cs="Arial" w:hint="eastAsia"/>
          <w:color w:val="000000" w:themeColor="text1"/>
          <w:sz w:val="18"/>
          <w:szCs w:val="18"/>
        </w:rPr>
        <w:t>(ETF)</w:t>
      </w:r>
      <w:r w:rsidRPr="00506943">
        <w:rPr>
          <w:rFonts w:ascii="Arial" w:eastAsia="標楷體" w:hAnsi="標楷體" w:cs="Arial" w:hint="eastAsia"/>
          <w:color w:val="000000" w:themeColor="text1"/>
          <w:sz w:val="18"/>
          <w:szCs w:val="18"/>
        </w:rPr>
        <w:t>有下列各款所定情事者，依各該款規定調整履約價格及行使比例：</w:t>
      </w:r>
    </w:p>
    <w:p w14:paraId="7C3D9F02" w14:textId="77777777" w:rsidR="00506943" w:rsidRPr="00506943" w:rsidRDefault="00506943" w:rsidP="00506943">
      <w:pPr>
        <w:snapToGrid w:val="0"/>
        <w:spacing w:line="200" w:lineRule="atLeast"/>
        <w:ind w:leftChars="361" w:left="956" w:hangingChars="50" w:hanging="90"/>
        <w:jc w:val="both"/>
        <w:rPr>
          <w:rFonts w:ascii="Arial" w:eastAsia="標楷體" w:hAnsi="標楷體" w:cs="Arial"/>
          <w:color w:val="000000" w:themeColor="text1"/>
          <w:sz w:val="18"/>
          <w:szCs w:val="18"/>
        </w:rPr>
      </w:pPr>
      <w:r w:rsidRPr="00506943">
        <w:rPr>
          <w:rFonts w:ascii="Arial" w:eastAsia="標楷體" w:hAnsi="標楷體" w:cs="Arial" w:hint="eastAsia"/>
          <w:color w:val="000000" w:themeColor="text1"/>
          <w:sz w:val="18"/>
          <w:szCs w:val="18"/>
        </w:rPr>
        <w:t xml:space="preserve">  1. </w:t>
      </w:r>
      <w:r w:rsidRPr="00506943">
        <w:rPr>
          <w:rFonts w:ascii="Arial" w:eastAsia="標楷體" w:hAnsi="標楷體" w:cs="Arial" w:hint="eastAsia"/>
          <w:color w:val="000000" w:themeColor="text1"/>
          <w:sz w:val="18"/>
          <w:szCs w:val="18"/>
        </w:rPr>
        <w:t>指數股票型基金</w:t>
      </w:r>
      <w:r w:rsidRPr="00506943">
        <w:rPr>
          <w:rFonts w:ascii="Arial" w:eastAsia="標楷體" w:hAnsi="標楷體" w:cs="Arial" w:hint="eastAsia"/>
          <w:color w:val="000000" w:themeColor="text1"/>
          <w:sz w:val="18"/>
          <w:szCs w:val="18"/>
        </w:rPr>
        <w:t>(ETF)</w:t>
      </w:r>
      <w:r w:rsidRPr="00506943">
        <w:rPr>
          <w:rFonts w:ascii="Arial" w:eastAsia="標楷體" w:hAnsi="標楷體" w:cs="Arial" w:hint="eastAsia"/>
          <w:color w:val="000000" w:themeColor="text1"/>
          <w:sz w:val="18"/>
          <w:szCs w:val="18"/>
        </w:rPr>
        <w:t>配發股息時之調整公式：</w:t>
      </w:r>
    </w:p>
    <w:p w14:paraId="6309FC98" w14:textId="77777777" w:rsidR="00506943" w:rsidRPr="00506943" w:rsidRDefault="00506943" w:rsidP="00506943">
      <w:pPr>
        <w:snapToGrid w:val="0"/>
        <w:spacing w:line="200" w:lineRule="atLeast"/>
        <w:ind w:leftChars="361" w:left="956" w:hangingChars="50" w:hanging="90"/>
        <w:jc w:val="both"/>
        <w:rPr>
          <w:rFonts w:ascii="Arial" w:eastAsia="標楷體" w:hAnsi="標楷體" w:cs="Arial"/>
          <w:color w:val="000000" w:themeColor="text1"/>
          <w:sz w:val="18"/>
          <w:szCs w:val="18"/>
        </w:rPr>
      </w:pPr>
      <w:r w:rsidRPr="00506943">
        <w:rPr>
          <w:rFonts w:ascii="Arial" w:eastAsia="標楷體" w:hAnsi="標楷體" w:cs="Arial"/>
          <w:color w:val="000000" w:themeColor="text1"/>
          <w:sz w:val="18"/>
          <w:szCs w:val="18"/>
        </w:rPr>
        <w:t xml:space="preserve">      S' = S </w:t>
      </w:r>
      <w:r w:rsidRPr="00506943">
        <w:rPr>
          <w:rFonts w:ascii="Arial" w:eastAsia="標楷體" w:hAnsi="標楷體" w:cs="Arial"/>
          <w:color w:val="000000" w:themeColor="text1"/>
          <w:sz w:val="18"/>
          <w:szCs w:val="18"/>
        </w:rPr>
        <w:t>–</w:t>
      </w:r>
      <w:r w:rsidRPr="00506943">
        <w:rPr>
          <w:rFonts w:ascii="Arial" w:eastAsia="標楷體" w:hAnsi="標楷體" w:cs="Arial"/>
          <w:color w:val="000000" w:themeColor="text1"/>
          <w:sz w:val="18"/>
          <w:szCs w:val="18"/>
        </w:rPr>
        <w:t xml:space="preserve"> B</w:t>
      </w:r>
    </w:p>
    <w:p w14:paraId="112C5094" w14:textId="77777777" w:rsidR="00506943" w:rsidRPr="00506943" w:rsidRDefault="00506943" w:rsidP="00560075">
      <w:pPr>
        <w:snapToGrid w:val="0"/>
        <w:spacing w:line="200" w:lineRule="atLeast"/>
        <w:ind w:leftChars="411" w:left="986" w:firstLineChars="250" w:firstLine="450"/>
        <w:jc w:val="both"/>
        <w:rPr>
          <w:rFonts w:ascii="Arial" w:eastAsia="標楷體" w:hAnsi="標楷體" w:cs="Arial"/>
          <w:color w:val="000000" w:themeColor="text1"/>
          <w:sz w:val="18"/>
          <w:szCs w:val="18"/>
        </w:rPr>
      </w:pPr>
      <w:r w:rsidRPr="00506943">
        <w:rPr>
          <w:rFonts w:ascii="Arial" w:eastAsia="標楷體" w:hAnsi="標楷體" w:cs="Arial"/>
          <w:color w:val="000000" w:themeColor="text1"/>
          <w:sz w:val="18"/>
          <w:szCs w:val="18"/>
        </w:rPr>
        <w:t xml:space="preserve">K' = K x ( S' / S ) </w:t>
      </w:r>
    </w:p>
    <w:p w14:paraId="6C1BECD1" w14:textId="77777777" w:rsidR="00506943" w:rsidRPr="00506943" w:rsidRDefault="00506943" w:rsidP="00560075">
      <w:pPr>
        <w:snapToGrid w:val="0"/>
        <w:spacing w:line="200" w:lineRule="atLeast"/>
        <w:ind w:leftChars="411" w:left="986" w:firstLineChars="250" w:firstLine="450"/>
        <w:jc w:val="both"/>
        <w:rPr>
          <w:rFonts w:ascii="Arial" w:eastAsia="標楷體" w:hAnsi="標楷體" w:cs="Arial"/>
          <w:color w:val="000000" w:themeColor="text1"/>
          <w:sz w:val="18"/>
          <w:szCs w:val="18"/>
        </w:rPr>
      </w:pPr>
      <w:r w:rsidRPr="00506943">
        <w:rPr>
          <w:rFonts w:ascii="Arial" w:eastAsia="標楷體" w:hAnsi="標楷體" w:cs="Arial"/>
          <w:color w:val="000000" w:themeColor="text1"/>
          <w:sz w:val="18"/>
          <w:szCs w:val="18"/>
        </w:rPr>
        <w:t xml:space="preserve">N' = N x ( S / S' ) </w:t>
      </w:r>
    </w:p>
    <w:p w14:paraId="065910D4" w14:textId="77777777" w:rsidR="00506943" w:rsidRPr="00506943" w:rsidRDefault="00506943" w:rsidP="00506943">
      <w:pPr>
        <w:snapToGrid w:val="0"/>
        <w:spacing w:line="200" w:lineRule="atLeast"/>
        <w:ind w:leftChars="361" w:left="956" w:hangingChars="50" w:hanging="90"/>
        <w:jc w:val="both"/>
        <w:rPr>
          <w:rFonts w:ascii="Arial" w:eastAsia="標楷體" w:hAnsi="標楷體" w:cs="Arial"/>
          <w:color w:val="000000" w:themeColor="text1"/>
          <w:sz w:val="18"/>
          <w:szCs w:val="18"/>
        </w:rPr>
      </w:pPr>
      <w:r w:rsidRPr="00506943">
        <w:rPr>
          <w:rFonts w:ascii="Arial" w:eastAsia="標楷體" w:hAnsi="標楷體" w:cs="Arial" w:hint="eastAsia"/>
          <w:color w:val="000000" w:themeColor="text1"/>
          <w:sz w:val="18"/>
          <w:szCs w:val="18"/>
        </w:rPr>
        <w:t xml:space="preserve">  2. </w:t>
      </w:r>
      <w:r w:rsidRPr="00506943">
        <w:rPr>
          <w:rFonts w:ascii="Arial" w:eastAsia="標楷體" w:hAnsi="標楷體" w:cs="Arial" w:hint="eastAsia"/>
          <w:color w:val="000000" w:themeColor="text1"/>
          <w:sz w:val="18"/>
          <w:szCs w:val="18"/>
        </w:rPr>
        <w:t>指數股票型基金</w:t>
      </w:r>
      <w:r w:rsidRPr="00506943">
        <w:rPr>
          <w:rFonts w:ascii="Arial" w:eastAsia="標楷體" w:hAnsi="標楷體" w:cs="Arial" w:hint="eastAsia"/>
          <w:color w:val="000000" w:themeColor="text1"/>
          <w:sz w:val="18"/>
          <w:szCs w:val="18"/>
        </w:rPr>
        <w:t>(ETF)</w:t>
      </w:r>
      <w:r w:rsidRPr="00506943">
        <w:rPr>
          <w:rFonts w:ascii="Arial" w:eastAsia="標楷體" w:hAnsi="標楷體" w:cs="Arial" w:hint="eastAsia"/>
          <w:color w:val="000000" w:themeColor="text1"/>
          <w:sz w:val="18"/>
          <w:szCs w:val="18"/>
        </w:rPr>
        <w:t>進行分割或反分割時之調整公式：</w:t>
      </w:r>
      <w:r w:rsidRPr="00506943">
        <w:rPr>
          <w:rFonts w:ascii="Arial" w:eastAsia="標楷體" w:hAnsi="標楷體" w:cs="Arial" w:hint="eastAsia"/>
          <w:color w:val="000000" w:themeColor="text1"/>
          <w:sz w:val="18"/>
          <w:szCs w:val="18"/>
        </w:rPr>
        <w:t xml:space="preserve"> </w:t>
      </w:r>
    </w:p>
    <w:p w14:paraId="21E75515" w14:textId="77777777" w:rsidR="00506943" w:rsidRPr="00506943" w:rsidRDefault="00506943" w:rsidP="00560075">
      <w:pPr>
        <w:snapToGrid w:val="0"/>
        <w:spacing w:line="200" w:lineRule="atLeast"/>
        <w:ind w:leftChars="411" w:left="986" w:firstLineChars="250" w:firstLine="450"/>
        <w:jc w:val="both"/>
        <w:rPr>
          <w:rFonts w:ascii="Arial" w:eastAsia="標楷體" w:hAnsi="標楷體" w:cs="Arial"/>
          <w:color w:val="000000" w:themeColor="text1"/>
          <w:sz w:val="18"/>
          <w:szCs w:val="18"/>
        </w:rPr>
      </w:pPr>
      <w:r w:rsidRPr="00506943">
        <w:rPr>
          <w:rFonts w:ascii="Arial" w:eastAsia="標楷體" w:hAnsi="標楷體" w:cs="Arial"/>
          <w:color w:val="000000" w:themeColor="text1"/>
          <w:sz w:val="18"/>
          <w:szCs w:val="18"/>
        </w:rPr>
        <w:t xml:space="preserve">S' = S / b </w:t>
      </w:r>
    </w:p>
    <w:p w14:paraId="42B7C5B8" w14:textId="77777777" w:rsidR="00506943" w:rsidRPr="00506943" w:rsidRDefault="00506943" w:rsidP="00560075">
      <w:pPr>
        <w:snapToGrid w:val="0"/>
        <w:spacing w:line="200" w:lineRule="atLeast"/>
        <w:ind w:leftChars="411" w:left="986" w:firstLineChars="250" w:firstLine="450"/>
        <w:jc w:val="both"/>
        <w:rPr>
          <w:rFonts w:ascii="Arial" w:eastAsia="標楷體" w:hAnsi="標楷體" w:cs="Arial"/>
          <w:color w:val="000000" w:themeColor="text1"/>
          <w:sz w:val="18"/>
          <w:szCs w:val="18"/>
        </w:rPr>
      </w:pPr>
      <w:r w:rsidRPr="00506943">
        <w:rPr>
          <w:rFonts w:ascii="Arial" w:eastAsia="標楷體" w:hAnsi="標楷體" w:cs="Arial"/>
          <w:color w:val="000000" w:themeColor="text1"/>
          <w:sz w:val="18"/>
          <w:szCs w:val="18"/>
        </w:rPr>
        <w:t xml:space="preserve">K' = K x ( S' / S )  </w:t>
      </w:r>
    </w:p>
    <w:p w14:paraId="1F28FB70" w14:textId="77777777" w:rsidR="00506943" w:rsidRPr="00506943" w:rsidRDefault="00506943" w:rsidP="00560075">
      <w:pPr>
        <w:snapToGrid w:val="0"/>
        <w:spacing w:line="200" w:lineRule="atLeast"/>
        <w:ind w:leftChars="411" w:left="986" w:firstLineChars="250" w:firstLine="450"/>
        <w:jc w:val="both"/>
        <w:rPr>
          <w:rFonts w:ascii="Arial" w:eastAsia="標楷體" w:hAnsi="標楷體" w:cs="Arial"/>
          <w:color w:val="000000" w:themeColor="text1"/>
          <w:sz w:val="18"/>
          <w:szCs w:val="18"/>
        </w:rPr>
      </w:pPr>
      <w:r w:rsidRPr="00506943">
        <w:rPr>
          <w:rFonts w:ascii="Arial" w:eastAsia="標楷體" w:hAnsi="標楷體" w:cs="Arial"/>
          <w:color w:val="000000" w:themeColor="text1"/>
          <w:sz w:val="18"/>
          <w:szCs w:val="18"/>
        </w:rPr>
        <w:t xml:space="preserve">N' = N x ( S / S' )  </w:t>
      </w:r>
    </w:p>
    <w:p w14:paraId="0242B821" w14:textId="77777777" w:rsidR="00506943" w:rsidRPr="00506943" w:rsidRDefault="00506943" w:rsidP="00506943">
      <w:pPr>
        <w:snapToGrid w:val="0"/>
        <w:spacing w:line="200" w:lineRule="atLeast"/>
        <w:ind w:leftChars="361" w:left="956" w:hangingChars="50" w:hanging="90"/>
        <w:jc w:val="both"/>
        <w:rPr>
          <w:rFonts w:ascii="Arial" w:eastAsia="標楷體" w:hAnsi="標楷體" w:cs="Arial"/>
          <w:color w:val="000000" w:themeColor="text1"/>
          <w:sz w:val="18"/>
          <w:szCs w:val="18"/>
        </w:rPr>
      </w:pPr>
      <w:r w:rsidRPr="00506943">
        <w:rPr>
          <w:rFonts w:ascii="Arial" w:eastAsia="標楷體" w:hAnsi="標楷體" w:cs="Arial" w:hint="eastAsia"/>
          <w:color w:val="000000" w:themeColor="text1"/>
          <w:sz w:val="18"/>
          <w:szCs w:val="18"/>
        </w:rPr>
        <w:t>其中，</w:t>
      </w:r>
      <w:r w:rsidRPr="00506943">
        <w:rPr>
          <w:rFonts w:ascii="Arial" w:eastAsia="標楷體" w:hAnsi="標楷體" w:cs="Arial" w:hint="eastAsia"/>
          <w:color w:val="000000" w:themeColor="text1"/>
          <w:sz w:val="18"/>
          <w:szCs w:val="18"/>
        </w:rPr>
        <w:t>b</w:t>
      </w:r>
      <w:r w:rsidRPr="00506943">
        <w:rPr>
          <w:rFonts w:ascii="Arial" w:eastAsia="標楷體" w:hAnsi="標楷體" w:cs="Arial" w:hint="eastAsia"/>
          <w:color w:val="000000" w:themeColor="text1"/>
          <w:sz w:val="18"/>
          <w:szCs w:val="18"/>
        </w:rPr>
        <w:t>代表分割或反分割比例，即</w:t>
      </w:r>
      <w:r w:rsidRPr="00506943">
        <w:rPr>
          <w:rFonts w:ascii="Arial" w:eastAsia="標楷體" w:hAnsi="標楷體" w:cs="Arial" w:hint="eastAsia"/>
          <w:color w:val="000000" w:themeColor="text1"/>
          <w:sz w:val="18"/>
          <w:szCs w:val="18"/>
        </w:rPr>
        <w:t xml:space="preserve">b= </w:t>
      </w:r>
      <w:r w:rsidRPr="00506943">
        <w:rPr>
          <w:rFonts w:ascii="Arial" w:eastAsia="標楷體" w:hAnsi="標楷體" w:cs="Arial" w:hint="eastAsia"/>
          <w:color w:val="000000" w:themeColor="text1"/>
          <w:sz w:val="18"/>
          <w:szCs w:val="18"/>
        </w:rPr>
        <w:t>分割（反分割）後受益權單位數</w:t>
      </w:r>
      <w:r w:rsidRPr="00506943">
        <w:rPr>
          <w:rFonts w:ascii="Arial" w:eastAsia="標楷體" w:hAnsi="標楷體" w:cs="Arial" w:hint="eastAsia"/>
          <w:color w:val="000000" w:themeColor="text1"/>
          <w:sz w:val="18"/>
          <w:szCs w:val="18"/>
        </w:rPr>
        <w:t xml:space="preserve"> / </w:t>
      </w:r>
      <w:r w:rsidRPr="00506943">
        <w:rPr>
          <w:rFonts w:ascii="Arial" w:eastAsia="標楷體" w:hAnsi="標楷體" w:cs="Arial" w:hint="eastAsia"/>
          <w:color w:val="000000" w:themeColor="text1"/>
          <w:sz w:val="18"/>
          <w:szCs w:val="18"/>
        </w:rPr>
        <w:t>分割（反分割）前受益權單位數</w:t>
      </w:r>
    </w:p>
    <w:p w14:paraId="549E858E" w14:textId="77777777" w:rsidR="007B06A3" w:rsidRPr="008E2ED8" w:rsidRDefault="007B06A3" w:rsidP="00FA0CFF">
      <w:pPr>
        <w:snapToGrid w:val="0"/>
        <w:spacing w:line="200" w:lineRule="atLeast"/>
        <w:ind w:leftChars="235" w:left="744" w:hangingChars="100" w:hanging="18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w:t>
      </w:r>
      <w:r w:rsidR="00506943">
        <w:rPr>
          <w:rFonts w:ascii="Arial" w:eastAsia="標楷體" w:hAnsi="標楷體" w:cs="Arial" w:hint="eastAsia"/>
          <w:color w:val="000000" w:themeColor="text1"/>
          <w:sz w:val="18"/>
          <w:szCs w:val="18"/>
        </w:rPr>
        <w:t>三</w:t>
      </w: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依上規定計算之新履約價格</w:t>
      </w:r>
      <w:r w:rsidRPr="008E2ED8">
        <w:rPr>
          <w:rFonts w:ascii="Arial" w:eastAsia="標楷體" w:hAnsi="標楷體" w:cs="Arial"/>
          <w:color w:val="000000" w:themeColor="text1"/>
          <w:sz w:val="18"/>
          <w:szCs w:val="18"/>
        </w:rPr>
        <w:t xml:space="preserve"> </w:t>
      </w:r>
      <w:r w:rsidRPr="008E2ED8">
        <w:rPr>
          <w:rFonts w:ascii="Arial" w:eastAsia="標楷體" w:hAnsi="標楷體" w:cs="Arial" w:hint="eastAsia"/>
          <w:color w:val="000000" w:themeColor="text1"/>
          <w:sz w:val="18"/>
          <w:szCs w:val="18"/>
        </w:rPr>
        <w:t>以百分位為最小單位，並以千分位四捨五入計算，新行使比例以千分位為最小單位，並以萬分位四捨五入計算。</w:t>
      </w:r>
    </w:p>
    <w:p w14:paraId="607681F0" w14:textId="77777777" w:rsidR="007B06A3" w:rsidRPr="008E2ED8" w:rsidRDefault="007B06A3" w:rsidP="008E2ED8">
      <w:pPr>
        <w:snapToGrid w:val="0"/>
        <w:spacing w:line="200" w:lineRule="atLeast"/>
        <w:ind w:firstLineChars="300" w:firstLine="54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w:t>
      </w:r>
      <w:r w:rsidR="00506943">
        <w:rPr>
          <w:rFonts w:ascii="Arial" w:eastAsia="標楷體" w:hAnsi="標楷體" w:cs="Arial" w:hint="eastAsia"/>
          <w:color w:val="000000" w:themeColor="text1"/>
          <w:sz w:val="18"/>
          <w:szCs w:val="18"/>
        </w:rPr>
        <w:t>四</w:t>
      </w: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前述事項發生時，發行人將依交易所規定辦理公告。</w:t>
      </w:r>
    </w:p>
    <w:p w14:paraId="3403F51F" w14:textId="77777777" w:rsidR="007B06A3" w:rsidRPr="00A475BE" w:rsidRDefault="00A475BE" w:rsidP="00A475BE">
      <w:pPr>
        <w:snapToGrid w:val="0"/>
        <w:spacing w:line="200" w:lineRule="atLeast"/>
        <w:ind w:firstLineChars="100" w:firstLine="180"/>
        <w:rPr>
          <w:rFonts w:ascii="Arial" w:eastAsia="標楷體" w:hAnsi="Arial" w:cs="Arial"/>
          <w:b/>
          <w:color w:val="000000" w:themeColor="text1"/>
          <w:sz w:val="18"/>
          <w:szCs w:val="18"/>
        </w:rPr>
      </w:pPr>
      <w:r w:rsidRPr="00A475BE">
        <w:rPr>
          <w:rFonts w:ascii="Arial" w:eastAsia="標楷體" w:hAnsi="Arial" w:cs="Arial" w:hint="eastAsia"/>
          <w:b/>
          <w:color w:val="000000" w:themeColor="text1"/>
          <w:sz w:val="18"/>
          <w:szCs w:val="18"/>
        </w:rPr>
        <w:t>十一、</w:t>
      </w:r>
      <w:r w:rsidR="007B06A3" w:rsidRPr="00A475BE">
        <w:rPr>
          <w:rFonts w:ascii="Arial" w:eastAsia="標楷體" w:hAnsi="Arial" w:cs="Arial" w:hint="eastAsia"/>
          <w:b/>
          <w:color w:val="000000" w:themeColor="text1"/>
          <w:sz w:val="18"/>
          <w:szCs w:val="18"/>
        </w:rPr>
        <w:t>標的證券公司有公司合併、收購及股份轉換、變更交易方式、停止買賣、暫停交易或終止上市或分割情事之處理</w:t>
      </w:r>
    </w:p>
    <w:p w14:paraId="16DF7623" w14:textId="77777777" w:rsidR="007B06A3" w:rsidRPr="008E2ED8" w:rsidRDefault="007B06A3" w:rsidP="00B35B2E">
      <w:pPr>
        <w:snapToGrid w:val="0"/>
        <w:spacing w:line="200" w:lineRule="atLeast"/>
        <w:ind w:leftChars="224" w:left="628" w:hangingChars="50" w:hanging="90"/>
        <w:jc w:val="both"/>
        <w:rPr>
          <w:rFonts w:ascii="Arial" w:eastAsia="標楷體" w:hAnsi="標楷體" w:cs="Arial"/>
          <w:color w:val="000000" w:themeColor="text1"/>
          <w:sz w:val="18"/>
          <w:szCs w:val="18"/>
          <w:u w:val="single"/>
        </w:rPr>
      </w:pP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一</w:t>
      </w: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公司合併</w:t>
      </w:r>
      <w:r w:rsidRPr="008E2ED8">
        <w:rPr>
          <w:rFonts w:ascii="Arial" w:eastAsia="標楷體" w:hAnsi="標楷體" w:cs="Arial" w:hint="eastAsia"/>
          <w:color w:val="000000" w:themeColor="text1"/>
          <w:sz w:val="18"/>
          <w:szCs w:val="18"/>
          <w:u w:val="single"/>
        </w:rPr>
        <w:t>、收購及股份轉換</w:t>
      </w:r>
      <w:r w:rsidRPr="008E2ED8">
        <w:rPr>
          <w:rFonts w:ascii="Arial" w:eastAsia="標楷體" w:hAnsi="標楷體" w:cs="Arial" w:hint="eastAsia"/>
          <w:color w:val="000000" w:themeColor="text1"/>
          <w:sz w:val="18"/>
          <w:szCs w:val="18"/>
        </w:rPr>
        <w:t>：</w:t>
      </w:r>
    </w:p>
    <w:p w14:paraId="15C3E852" w14:textId="77777777" w:rsidR="00B35B2E" w:rsidRPr="00B35B2E" w:rsidRDefault="00B35B2E" w:rsidP="00B35B2E">
      <w:pPr>
        <w:snapToGrid w:val="0"/>
        <w:spacing w:line="200" w:lineRule="atLeast"/>
        <w:ind w:leftChars="253" w:left="607" w:firstLineChars="100" w:firstLine="180"/>
        <w:jc w:val="both"/>
        <w:rPr>
          <w:rFonts w:ascii="Arial" w:eastAsia="標楷體" w:hAnsi="標楷體" w:cs="Arial"/>
          <w:color w:val="000000" w:themeColor="text1"/>
          <w:sz w:val="18"/>
          <w:szCs w:val="18"/>
        </w:rPr>
      </w:pPr>
      <w:r w:rsidRPr="00B35B2E">
        <w:rPr>
          <w:rFonts w:ascii="Arial" w:eastAsia="標楷體" w:hAnsi="標楷體" w:cs="Arial" w:hint="eastAsia"/>
          <w:color w:val="000000" w:themeColor="text1"/>
          <w:sz w:val="18"/>
          <w:szCs w:val="18"/>
        </w:rPr>
        <w:t>1.</w:t>
      </w:r>
      <w:r w:rsidRPr="00B35B2E">
        <w:rPr>
          <w:rFonts w:ascii="Arial" w:eastAsia="標楷體" w:hAnsi="標楷體" w:cs="Arial" w:hint="eastAsia"/>
          <w:color w:val="000000" w:themeColor="text1"/>
          <w:sz w:val="18"/>
          <w:szCs w:val="18"/>
        </w:rPr>
        <w:t>標的證券發行公司因合併、收購及股份轉換後為存續公司者，本權證之發行條件不予變更。</w:t>
      </w:r>
    </w:p>
    <w:p w14:paraId="17B44FD5" w14:textId="77777777" w:rsidR="00B35B2E" w:rsidRPr="00B35B2E" w:rsidRDefault="00B35B2E" w:rsidP="00B35B2E">
      <w:pPr>
        <w:snapToGrid w:val="0"/>
        <w:spacing w:line="200" w:lineRule="atLeast"/>
        <w:ind w:leftChars="253" w:left="607" w:firstLineChars="100" w:firstLine="180"/>
        <w:jc w:val="both"/>
        <w:rPr>
          <w:rFonts w:ascii="Arial" w:eastAsia="標楷體" w:hAnsi="標楷體" w:cs="Arial"/>
          <w:color w:val="000000" w:themeColor="text1"/>
          <w:sz w:val="18"/>
          <w:szCs w:val="18"/>
        </w:rPr>
      </w:pPr>
      <w:r w:rsidRPr="00B35B2E">
        <w:rPr>
          <w:rFonts w:ascii="Arial" w:eastAsia="標楷體" w:hAnsi="標楷體" w:cs="Arial" w:hint="eastAsia"/>
          <w:color w:val="000000" w:themeColor="text1"/>
          <w:sz w:val="18"/>
          <w:szCs w:val="18"/>
        </w:rPr>
        <w:t>2.</w:t>
      </w:r>
      <w:r w:rsidRPr="00B35B2E">
        <w:rPr>
          <w:rFonts w:ascii="Arial" w:eastAsia="標楷體" w:hAnsi="標楷體" w:cs="Arial" w:hint="eastAsia"/>
          <w:color w:val="000000" w:themeColor="text1"/>
          <w:sz w:val="18"/>
          <w:szCs w:val="18"/>
        </w:rPr>
        <w:t>標的證券發行公司因合併、收購及股份轉換而消滅或下市，若對價條件為以下情境者，本權證將依本條</w:t>
      </w:r>
      <w:r w:rsidRPr="00B35B2E">
        <w:rPr>
          <w:rFonts w:ascii="Arial" w:eastAsia="標楷體" w:hAnsi="標楷體" w:cs="Arial" w:hint="eastAsia"/>
          <w:color w:val="000000" w:themeColor="text1"/>
          <w:sz w:val="18"/>
          <w:szCs w:val="18"/>
        </w:rPr>
        <w:t>(</w:t>
      </w:r>
      <w:r w:rsidRPr="00B35B2E">
        <w:rPr>
          <w:rFonts w:ascii="Arial" w:eastAsia="標楷體" w:hAnsi="標楷體" w:cs="Arial" w:hint="eastAsia"/>
          <w:color w:val="000000" w:themeColor="text1"/>
          <w:sz w:val="18"/>
          <w:szCs w:val="18"/>
        </w:rPr>
        <w:t>五</w:t>
      </w:r>
      <w:r w:rsidRPr="00B35B2E">
        <w:rPr>
          <w:rFonts w:ascii="Arial" w:eastAsia="標楷體" w:hAnsi="標楷體" w:cs="Arial" w:hint="eastAsia"/>
          <w:color w:val="000000" w:themeColor="text1"/>
          <w:sz w:val="18"/>
          <w:szCs w:val="18"/>
        </w:rPr>
        <w:t>)</w:t>
      </w:r>
      <w:r w:rsidRPr="00B35B2E">
        <w:rPr>
          <w:rFonts w:ascii="Arial" w:eastAsia="標楷體" w:hAnsi="標楷體" w:cs="Arial" w:hint="eastAsia"/>
          <w:color w:val="000000" w:themeColor="text1"/>
          <w:sz w:val="18"/>
          <w:szCs w:val="18"/>
        </w:rPr>
        <w:t>之結算辦法進行結算。</w:t>
      </w:r>
    </w:p>
    <w:p w14:paraId="7B676123" w14:textId="77777777" w:rsidR="00B35B2E" w:rsidRPr="00B35B2E" w:rsidRDefault="00B35B2E" w:rsidP="00B35B2E">
      <w:pPr>
        <w:snapToGrid w:val="0"/>
        <w:spacing w:line="200" w:lineRule="atLeast"/>
        <w:ind w:leftChars="253" w:left="607" w:firstLineChars="150" w:firstLine="270"/>
        <w:jc w:val="both"/>
        <w:rPr>
          <w:rFonts w:ascii="Arial" w:eastAsia="標楷體" w:hAnsi="標楷體" w:cs="Arial"/>
          <w:color w:val="000000" w:themeColor="text1"/>
          <w:sz w:val="18"/>
          <w:szCs w:val="18"/>
        </w:rPr>
      </w:pPr>
      <w:r w:rsidRPr="00B35B2E">
        <w:rPr>
          <w:rFonts w:ascii="Arial" w:eastAsia="標楷體" w:hAnsi="標楷體" w:cs="Arial" w:hint="eastAsia"/>
          <w:color w:val="000000" w:themeColor="text1"/>
          <w:sz w:val="18"/>
          <w:szCs w:val="18"/>
        </w:rPr>
        <w:t>(1)</w:t>
      </w:r>
      <w:r w:rsidRPr="00B35B2E">
        <w:rPr>
          <w:rFonts w:ascii="Arial" w:eastAsia="標楷體" w:hAnsi="標楷體" w:cs="Arial" w:hint="eastAsia"/>
          <w:color w:val="000000" w:themeColor="text1"/>
          <w:sz w:val="18"/>
          <w:szCs w:val="18"/>
        </w:rPr>
        <w:t>對價條件為百分之百現金。</w:t>
      </w:r>
    </w:p>
    <w:p w14:paraId="480675D9" w14:textId="77777777" w:rsidR="00B35B2E" w:rsidRPr="00B35B2E" w:rsidRDefault="00B35B2E" w:rsidP="00B35B2E">
      <w:pPr>
        <w:snapToGrid w:val="0"/>
        <w:spacing w:line="200" w:lineRule="atLeast"/>
        <w:ind w:leftChars="253" w:left="607" w:firstLineChars="150" w:firstLine="270"/>
        <w:jc w:val="both"/>
        <w:rPr>
          <w:rFonts w:ascii="Arial" w:eastAsia="標楷體" w:hAnsi="標楷體" w:cs="Arial"/>
          <w:color w:val="000000" w:themeColor="text1"/>
          <w:sz w:val="18"/>
          <w:szCs w:val="18"/>
        </w:rPr>
      </w:pPr>
      <w:r w:rsidRPr="00B35B2E">
        <w:rPr>
          <w:rFonts w:ascii="Arial" w:eastAsia="標楷體" w:hAnsi="標楷體" w:cs="Arial" w:hint="eastAsia"/>
          <w:color w:val="000000" w:themeColor="text1"/>
          <w:sz w:val="18"/>
          <w:szCs w:val="18"/>
        </w:rPr>
        <w:t>(2)</w:t>
      </w:r>
      <w:r w:rsidRPr="00B35B2E">
        <w:rPr>
          <w:rFonts w:ascii="Arial" w:eastAsia="標楷體" w:hAnsi="標楷體" w:cs="Arial" w:hint="eastAsia"/>
          <w:color w:val="000000" w:themeColor="text1"/>
          <w:sz w:val="18"/>
          <w:szCs w:val="18"/>
        </w:rPr>
        <w:t>對價條件除存續公司普通股股份、現金之外，同時包含其他有價證券。</w:t>
      </w:r>
    </w:p>
    <w:p w14:paraId="3AE3E2AB" w14:textId="77777777" w:rsidR="00B35B2E" w:rsidRPr="00B35B2E" w:rsidRDefault="00B35B2E" w:rsidP="00B35B2E">
      <w:pPr>
        <w:snapToGrid w:val="0"/>
        <w:spacing w:line="200" w:lineRule="atLeast"/>
        <w:ind w:leftChars="253" w:left="607" w:firstLineChars="100" w:firstLine="180"/>
        <w:jc w:val="both"/>
        <w:rPr>
          <w:rFonts w:ascii="Arial" w:eastAsia="標楷體" w:hAnsi="標楷體" w:cs="Arial"/>
          <w:color w:val="000000" w:themeColor="text1"/>
          <w:sz w:val="18"/>
          <w:szCs w:val="18"/>
        </w:rPr>
      </w:pPr>
      <w:r w:rsidRPr="00B35B2E">
        <w:rPr>
          <w:rFonts w:ascii="Arial" w:eastAsia="標楷體" w:hAnsi="標楷體" w:cs="Arial" w:hint="eastAsia"/>
          <w:color w:val="000000" w:themeColor="text1"/>
          <w:sz w:val="18"/>
          <w:szCs w:val="18"/>
        </w:rPr>
        <w:t>3.</w:t>
      </w:r>
      <w:r w:rsidRPr="00B35B2E">
        <w:rPr>
          <w:rFonts w:ascii="Arial" w:eastAsia="標楷體" w:hAnsi="標楷體" w:cs="Arial" w:hint="eastAsia"/>
          <w:color w:val="000000" w:themeColor="text1"/>
          <w:sz w:val="18"/>
          <w:szCs w:val="18"/>
        </w:rPr>
        <w:t>標的證券發行公司因合併、收購及股份轉換而消滅或下市，且對價條件不符合本條</w:t>
      </w:r>
      <w:r w:rsidRPr="00B35B2E">
        <w:rPr>
          <w:rFonts w:ascii="Arial" w:eastAsia="標楷體" w:hAnsi="標楷體" w:cs="Arial" w:hint="eastAsia"/>
          <w:color w:val="000000" w:themeColor="text1"/>
          <w:sz w:val="18"/>
          <w:szCs w:val="18"/>
        </w:rPr>
        <w:t>(</w:t>
      </w:r>
      <w:r w:rsidRPr="00B35B2E">
        <w:rPr>
          <w:rFonts w:ascii="Arial" w:eastAsia="標楷體" w:hAnsi="標楷體" w:cs="Arial" w:hint="eastAsia"/>
          <w:color w:val="000000" w:themeColor="text1"/>
          <w:sz w:val="18"/>
          <w:szCs w:val="18"/>
        </w:rPr>
        <w:t>一</w:t>
      </w:r>
      <w:r w:rsidRPr="00B35B2E">
        <w:rPr>
          <w:rFonts w:ascii="Arial" w:eastAsia="標楷體" w:hAnsi="標楷體" w:cs="Arial" w:hint="eastAsia"/>
          <w:color w:val="000000" w:themeColor="text1"/>
          <w:sz w:val="18"/>
          <w:szCs w:val="18"/>
        </w:rPr>
        <w:t>)2.</w:t>
      </w:r>
      <w:r w:rsidRPr="00B35B2E">
        <w:rPr>
          <w:rFonts w:ascii="Arial" w:eastAsia="標楷體" w:hAnsi="標楷體" w:cs="Arial" w:hint="eastAsia"/>
          <w:color w:val="000000" w:themeColor="text1"/>
          <w:sz w:val="18"/>
          <w:szCs w:val="18"/>
        </w:rPr>
        <w:t>者，發行人依以下不同情境分別辦理。</w:t>
      </w:r>
    </w:p>
    <w:p w14:paraId="537B95FB" w14:textId="77777777" w:rsidR="00B35B2E" w:rsidRPr="00B35B2E" w:rsidRDefault="00B35B2E" w:rsidP="00B35B2E">
      <w:pPr>
        <w:snapToGrid w:val="0"/>
        <w:spacing w:line="200" w:lineRule="atLeast"/>
        <w:ind w:leftChars="253" w:left="607" w:firstLineChars="150" w:firstLine="270"/>
        <w:jc w:val="both"/>
        <w:rPr>
          <w:rFonts w:ascii="Arial" w:eastAsia="標楷體" w:hAnsi="標楷體" w:cs="Arial"/>
          <w:color w:val="000000" w:themeColor="text1"/>
          <w:sz w:val="18"/>
          <w:szCs w:val="18"/>
        </w:rPr>
      </w:pPr>
      <w:r w:rsidRPr="00B35B2E">
        <w:rPr>
          <w:rFonts w:ascii="Arial" w:eastAsia="標楷體" w:hAnsi="標楷體" w:cs="Arial" w:hint="eastAsia"/>
          <w:color w:val="000000" w:themeColor="text1"/>
          <w:sz w:val="18"/>
          <w:szCs w:val="18"/>
        </w:rPr>
        <w:t>(1)</w:t>
      </w:r>
      <w:r w:rsidRPr="00B35B2E">
        <w:rPr>
          <w:rFonts w:ascii="Arial" w:eastAsia="標楷體" w:hAnsi="標楷體" w:cs="Arial" w:hint="eastAsia"/>
          <w:color w:val="000000" w:themeColor="text1"/>
          <w:sz w:val="18"/>
          <w:szCs w:val="18"/>
        </w:rPr>
        <w:t>存續公司於股份轉換基準日後為權證可發行標的時，依本發行計畫第十條第</w:t>
      </w:r>
      <w:r w:rsidRPr="00B35B2E">
        <w:rPr>
          <w:rFonts w:ascii="Arial" w:eastAsia="標楷體" w:hAnsi="標楷體" w:cs="Arial" w:hint="eastAsia"/>
          <w:color w:val="000000" w:themeColor="text1"/>
          <w:sz w:val="18"/>
          <w:szCs w:val="18"/>
        </w:rPr>
        <w:t>(</w:t>
      </w:r>
      <w:r w:rsidRPr="00B35B2E">
        <w:rPr>
          <w:rFonts w:ascii="Arial" w:eastAsia="標楷體" w:hAnsi="標楷體" w:cs="Arial" w:hint="eastAsia"/>
          <w:color w:val="000000" w:themeColor="text1"/>
          <w:sz w:val="18"/>
          <w:szCs w:val="18"/>
        </w:rPr>
        <w:t>一</w:t>
      </w:r>
      <w:r w:rsidRPr="00B35B2E">
        <w:rPr>
          <w:rFonts w:ascii="Arial" w:eastAsia="標楷體" w:hAnsi="標楷體" w:cs="Arial" w:hint="eastAsia"/>
          <w:color w:val="000000" w:themeColor="text1"/>
          <w:sz w:val="18"/>
          <w:szCs w:val="18"/>
        </w:rPr>
        <w:t>)</w:t>
      </w:r>
      <w:r w:rsidRPr="00B35B2E">
        <w:rPr>
          <w:rFonts w:ascii="Arial" w:eastAsia="標楷體" w:hAnsi="標楷體" w:cs="Arial" w:hint="eastAsia"/>
          <w:color w:val="000000" w:themeColor="text1"/>
          <w:sz w:val="18"/>
          <w:szCs w:val="18"/>
        </w:rPr>
        <w:t>款公式調整履約價格及行使比例。</w:t>
      </w:r>
    </w:p>
    <w:p w14:paraId="4735B28C" w14:textId="77777777" w:rsidR="00B35B2E" w:rsidRDefault="00B35B2E" w:rsidP="00B35B2E">
      <w:pPr>
        <w:snapToGrid w:val="0"/>
        <w:spacing w:line="200" w:lineRule="atLeast"/>
        <w:ind w:leftChars="350" w:left="1020" w:hangingChars="100" w:hanging="180"/>
        <w:jc w:val="both"/>
        <w:rPr>
          <w:rFonts w:ascii="Arial" w:eastAsia="標楷體" w:hAnsi="標楷體" w:cs="Arial"/>
          <w:color w:val="000000" w:themeColor="text1"/>
          <w:sz w:val="18"/>
          <w:szCs w:val="18"/>
        </w:rPr>
      </w:pPr>
      <w:r w:rsidRPr="00B35B2E">
        <w:rPr>
          <w:rFonts w:ascii="Arial" w:eastAsia="標楷體" w:hAnsi="標楷體" w:cs="Arial" w:hint="eastAsia"/>
          <w:color w:val="000000" w:themeColor="text1"/>
          <w:sz w:val="18"/>
          <w:szCs w:val="18"/>
        </w:rPr>
        <w:t>(2)</w:t>
      </w:r>
      <w:r w:rsidRPr="00B35B2E">
        <w:rPr>
          <w:rFonts w:ascii="Arial" w:eastAsia="標楷體" w:hAnsi="標楷體" w:cs="Arial" w:hint="eastAsia"/>
          <w:color w:val="000000" w:themeColor="text1"/>
          <w:sz w:val="18"/>
          <w:szCs w:val="18"/>
        </w:rPr>
        <w:t>存續公司於股份轉換基準日後非為權證可發行標的時，本權證依本條</w:t>
      </w:r>
      <w:r w:rsidRPr="00B35B2E">
        <w:rPr>
          <w:rFonts w:ascii="Arial" w:eastAsia="標楷體" w:hAnsi="標楷體" w:cs="Arial" w:hint="eastAsia"/>
          <w:color w:val="000000" w:themeColor="text1"/>
          <w:sz w:val="18"/>
          <w:szCs w:val="18"/>
        </w:rPr>
        <w:t>(</w:t>
      </w:r>
      <w:r w:rsidRPr="00B35B2E">
        <w:rPr>
          <w:rFonts w:ascii="Arial" w:eastAsia="標楷體" w:hAnsi="標楷體" w:cs="Arial" w:hint="eastAsia"/>
          <w:color w:val="000000" w:themeColor="text1"/>
          <w:sz w:val="18"/>
          <w:szCs w:val="18"/>
        </w:rPr>
        <w:t>五</w:t>
      </w:r>
      <w:r w:rsidRPr="00B35B2E">
        <w:rPr>
          <w:rFonts w:ascii="Arial" w:eastAsia="標楷體" w:hAnsi="標楷體" w:cs="Arial" w:hint="eastAsia"/>
          <w:color w:val="000000" w:themeColor="text1"/>
          <w:sz w:val="18"/>
          <w:szCs w:val="18"/>
        </w:rPr>
        <w:t>)</w:t>
      </w:r>
      <w:r w:rsidRPr="00B35B2E">
        <w:rPr>
          <w:rFonts w:ascii="Arial" w:eastAsia="標楷體" w:hAnsi="標楷體" w:cs="Arial" w:hint="eastAsia"/>
          <w:color w:val="000000" w:themeColor="text1"/>
          <w:sz w:val="18"/>
          <w:szCs w:val="18"/>
        </w:rPr>
        <w:t>之結算辦法進行結算，但若存續公司為本次股份轉換基準日後新掛牌之國內上市金融控股公司，或為直接持有原標的證券發行公司百分之百已發行股份，且為本次股份轉換基準日後新掛牌之國內上市投資控股公司時，則依本發行計畫第十條第</w:t>
      </w:r>
      <w:r w:rsidRPr="00B35B2E">
        <w:rPr>
          <w:rFonts w:ascii="Arial" w:eastAsia="標楷體" w:hAnsi="標楷體" w:cs="Arial" w:hint="eastAsia"/>
          <w:color w:val="000000" w:themeColor="text1"/>
          <w:sz w:val="18"/>
          <w:szCs w:val="18"/>
        </w:rPr>
        <w:t>(</w:t>
      </w:r>
      <w:r w:rsidRPr="00B35B2E">
        <w:rPr>
          <w:rFonts w:ascii="Arial" w:eastAsia="標楷體" w:hAnsi="標楷體" w:cs="Arial" w:hint="eastAsia"/>
          <w:color w:val="000000" w:themeColor="text1"/>
          <w:sz w:val="18"/>
          <w:szCs w:val="18"/>
        </w:rPr>
        <w:t>一</w:t>
      </w:r>
      <w:r w:rsidRPr="00B35B2E">
        <w:rPr>
          <w:rFonts w:ascii="Arial" w:eastAsia="標楷體" w:hAnsi="標楷體" w:cs="Arial" w:hint="eastAsia"/>
          <w:color w:val="000000" w:themeColor="text1"/>
          <w:sz w:val="18"/>
          <w:szCs w:val="18"/>
        </w:rPr>
        <w:t>)</w:t>
      </w:r>
      <w:r w:rsidRPr="00B35B2E">
        <w:rPr>
          <w:rFonts w:ascii="Arial" w:eastAsia="標楷體" w:hAnsi="標楷體" w:cs="Arial" w:hint="eastAsia"/>
          <w:color w:val="000000" w:themeColor="text1"/>
          <w:sz w:val="18"/>
          <w:szCs w:val="18"/>
        </w:rPr>
        <w:t>款公式調整履約價格及行使比例。</w:t>
      </w:r>
    </w:p>
    <w:p w14:paraId="720F8211" w14:textId="77777777" w:rsidR="007B06A3" w:rsidRPr="008E2ED8" w:rsidRDefault="007B06A3" w:rsidP="00B35B2E">
      <w:pPr>
        <w:snapToGrid w:val="0"/>
        <w:spacing w:line="200" w:lineRule="atLeast"/>
        <w:ind w:firstLineChars="300" w:firstLine="540"/>
        <w:jc w:val="both"/>
        <w:rPr>
          <w:rFonts w:ascii="Arial" w:eastAsia="標楷體" w:hAnsi="標楷體" w:cs="Arial"/>
          <w:color w:val="000000" w:themeColor="text1"/>
          <w:sz w:val="18"/>
          <w:szCs w:val="18"/>
          <w:u w:val="single"/>
        </w:rPr>
      </w:pP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二</w:t>
      </w: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標的證券變更交易方式：</w:t>
      </w:r>
    </w:p>
    <w:p w14:paraId="57FDC4E1" w14:textId="77777777" w:rsidR="007B06A3" w:rsidRPr="008E2ED8" w:rsidRDefault="007B06A3" w:rsidP="00B35B2E">
      <w:pPr>
        <w:snapToGrid w:val="0"/>
        <w:spacing w:line="200" w:lineRule="atLeast"/>
        <w:ind w:leftChars="398" w:left="955"/>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標的證券變更交易方式時，本權證之發行條件不予變更。但發行人認有必要時，得報經交易所同意後，變更發行條件或為其他適當之處理。</w:t>
      </w:r>
    </w:p>
    <w:p w14:paraId="3D76CB92" w14:textId="77777777" w:rsidR="007B06A3" w:rsidRPr="008E2ED8" w:rsidRDefault="007B06A3" w:rsidP="008E2ED8">
      <w:pPr>
        <w:snapToGrid w:val="0"/>
        <w:spacing w:line="200" w:lineRule="atLeast"/>
        <w:ind w:leftChars="174" w:left="418" w:firstLineChars="50" w:firstLine="9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三</w:t>
      </w: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標的證券停止買賣：</w:t>
      </w:r>
    </w:p>
    <w:p w14:paraId="116C8618" w14:textId="77777777" w:rsidR="007B06A3" w:rsidRPr="008E2ED8" w:rsidRDefault="007B06A3" w:rsidP="008E2ED8">
      <w:pPr>
        <w:snapToGrid w:val="0"/>
        <w:spacing w:line="200" w:lineRule="atLeast"/>
        <w:ind w:leftChars="377" w:left="905"/>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標的證券停止買賣期間，本權證亦停止買賣及停止履約；標的證券恢復買賣後，依本發行計畫之規定辦理。標的證券停止買賣期間逾本權證到期日者，本權證於視為到期日之次日失其效力。</w:t>
      </w:r>
    </w:p>
    <w:p w14:paraId="0B610955" w14:textId="77777777" w:rsidR="007B06A3" w:rsidRPr="008E2ED8" w:rsidRDefault="007B06A3" w:rsidP="00A04D9C">
      <w:pPr>
        <w:snapToGrid w:val="0"/>
        <w:spacing w:line="200" w:lineRule="atLeast"/>
        <w:ind w:firstLineChars="250" w:firstLine="45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四</w:t>
      </w: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標的證券暫停交易</w:t>
      </w:r>
    </w:p>
    <w:p w14:paraId="24AFC7B7" w14:textId="77777777" w:rsidR="007B06A3" w:rsidRPr="008E2ED8" w:rsidRDefault="007B06A3" w:rsidP="008E2ED8">
      <w:pPr>
        <w:snapToGrid w:val="0"/>
        <w:spacing w:line="200" w:lineRule="atLeast"/>
        <w:ind w:leftChars="377" w:left="905"/>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標的證券暫停交易期間，本權證亦暫停交易、停止履約及不提供報價；標的證券恢復交易後，依本發行計畫之規定辦理。標的證券暫停交易期間逾本權證到期日者，本權證於視為到期日之次日失其效力。</w:t>
      </w:r>
    </w:p>
    <w:p w14:paraId="068D760D" w14:textId="77777777" w:rsidR="007B06A3" w:rsidRPr="008E2ED8" w:rsidRDefault="007B06A3" w:rsidP="00A04D9C">
      <w:pPr>
        <w:snapToGrid w:val="0"/>
        <w:spacing w:line="200" w:lineRule="atLeast"/>
        <w:ind w:firstLineChars="250" w:firstLine="45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五</w:t>
      </w: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標的證券終止上市</w:t>
      </w:r>
      <w:r w:rsidRPr="008E2ED8">
        <w:rPr>
          <w:rFonts w:ascii="Arial" w:eastAsia="標楷體" w:hAnsi="標楷體" w:cs="Arial" w:hint="eastAsia"/>
          <w:color w:val="000000" w:themeColor="text1"/>
          <w:sz w:val="18"/>
          <w:szCs w:val="18"/>
          <w:u w:val="single"/>
        </w:rPr>
        <w:t>及分割</w:t>
      </w:r>
      <w:r w:rsidRPr="008E2ED8">
        <w:rPr>
          <w:rFonts w:ascii="Arial" w:eastAsia="標楷體" w:hAnsi="標楷體" w:cs="Arial" w:hint="eastAsia"/>
          <w:color w:val="000000" w:themeColor="text1"/>
          <w:sz w:val="18"/>
          <w:szCs w:val="18"/>
        </w:rPr>
        <w:t>：</w:t>
      </w:r>
      <w:r w:rsidRPr="008E2ED8">
        <w:rPr>
          <w:rFonts w:ascii="Arial" w:eastAsia="標楷體" w:hAnsi="標楷體" w:cs="Arial"/>
          <w:color w:val="000000" w:themeColor="text1"/>
          <w:sz w:val="18"/>
          <w:szCs w:val="18"/>
        </w:rPr>
        <w:t xml:space="preserve"> </w:t>
      </w:r>
    </w:p>
    <w:p w14:paraId="7BF67788" w14:textId="77777777" w:rsidR="007B06A3" w:rsidRPr="008E2ED8" w:rsidRDefault="007B06A3" w:rsidP="008E2ED8">
      <w:pPr>
        <w:snapToGrid w:val="0"/>
        <w:spacing w:line="200" w:lineRule="atLeast"/>
        <w:ind w:leftChars="348" w:left="925" w:hangingChars="50" w:hanging="9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1.</w:t>
      </w:r>
      <w:r w:rsidRPr="008E2ED8">
        <w:rPr>
          <w:rFonts w:ascii="Arial" w:eastAsia="標楷體" w:hAnsi="標楷體" w:cs="Arial" w:hint="eastAsia"/>
          <w:color w:val="000000" w:themeColor="text1"/>
          <w:sz w:val="18"/>
          <w:szCs w:val="18"/>
        </w:rPr>
        <w:t>本權證之提前到期日為標的證券之最後交易日，本權證之最後交易日為提前到期日前二個營業日。發行人於提前到期日後三十日內，採現金結算方式結算予持有人。</w:t>
      </w:r>
    </w:p>
    <w:p w14:paraId="3954A00E" w14:textId="77777777" w:rsidR="007B06A3" w:rsidRPr="008E2ED8" w:rsidRDefault="00880563" w:rsidP="00880563">
      <w:pPr>
        <w:snapToGrid w:val="0"/>
        <w:spacing w:line="200" w:lineRule="atLeast"/>
        <w:ind w:firstLineChars="500" w:firstLine="900"/>
        <w:jc w:val="both"/>
        <w:rPr>
          <w:rFonts w:ascii="Arial" w:eastAsia="標楷體" w:hAnsi="標楷體" w:cs="Arial"/>
          <w:color w:val="000000" w:themeColor="text1"/>
          <w:sz w:val="18"/>
          <w:szCs w:val="18"/>
        </w:rPr>
      </w:pPr>
      <w:r>
        <w:rPr>
          <w:rFonts w:ascii="Arial" w:eastAsia="標楷體" w:hAnsi="標楷體" w:cs="Arial" w:hint="eastAsia"/>
          <w:color w:val="000000" w:themeColor="text1"/>
          <w:sz w:val="18"/>
          <w:szCs w:val="18"/>
        </w:rPr>
        <w:t>2.</w:t>
      </w:r>
      <w:r w:rsidR="007B06A3" w:rsidRPr="008E2ED8">
        <w:rPr>
          <w:rFonts w:ascii="Arial" w:eastAsia="標楷體" w:hAnsi="標楷體" w:cs="Arial" w:hint="eastAsia"/>
          <w:color w:val="000000" w:themeColor="text1"/>
          <w:sz w:val="18"/>
          <w:szCs w:val="18"/>
        </w:rPr>
        <w:t>本權證結算價格之計算：</w:t>
      </w:r>
    </w:p>
    <w:p w14:paraId="7E8D1877" w14:textId="77777777" w:rsidR="00880563" w:rsidRDefault="00880563" w:rsidP="00880563">
      <w:pPr>
        <w:snapToGrid w:val="0"/>
        <w:spacing w:line="200" w:lineRule="atLeast"/>
        <w:ind w:leftChars="329" w:left="1420" w:hangingChars="350" w:hanging="630"/>
        <w:jc w:val="both"/>
        <w:rPr>
          <w:rFonts w:ascii="Arial" w:eastAsia="標楷體" w:hAnsi="標楷體" w:cs="Arial"/>
          <w:color w:val="000000" w:themeColor="text1"/>
          <w:sz w:val="18"/>
          <w:szCs w:val="18"/>
        </w:rPr>
      </w:pPr>
      <w:r w:rsidRPr="00880563">
        <w:rPr>
          <w:rFonts w:ascii="Arial" w:eastAsia="標楷體" w:hAnsi="標楷體" w:cs="Arial" w:hint="eastAsia"/>
          <w:color w:val="000000" w:themeColor="text1"/>
          <w:sz w:val="18"/>
          <w:szCs w:val="18"/>
        </w:rPr>
        <w:t>(1)</w:t>
      </w:r>
      <w:r w:rsidRPr="00880563">
        <w:rPr>
          <w:rFonts w:ascii="Arial" w:eastAsia="標楷體" w:hAnsi="標楷體" w:cs="Arial" w:hint="eastAsia"/>
          <w:color w:val="000000" w:themeColor="text1"/>
          <w:sz w:val="18"/>
          <w:szCs w:val="18"/>
        </w:rPr>
        <w:t>若標的證券為指數股票型基金（</w:t>
      </w:r>
      <w:r w:rsidRPr="00880563">
        <w:rPr>
          <w:rFonts w:ascii="Arial" w:eastAsia="標楷體" w:hAnsi="標楷體" w:cs="Arial" w:hint="eastAsia"/>
          <w:color w:val="000000" w:themeColor="text1"/>
          <w:sz w:val="18"/>
          <w:szCs w:val="18"/>
        </w:rPr>
        <w:t>ETF</w:t>
      </w:r>
      <w:r w:rsidRPr="00880563">
        <w:rPr>
          <w:rFonts w:ascii="Arial" w:eastAsia="標楷體" w:hAnsi="標楷體" w:cs="Arial" w:hint="eastAsia"/>
          <w:color w:val="000000" w:themeColor="text1"/>
          <w:sz w:val="18"/>
          <w:szCs w:val="18"/>
        </w:rPr>
        <w:t>），因淨值等於零或小於零公告停止買賣，則權證結算價格計算方式為以標的價格為零計算內</w:t>
      </w:r>
    </w:p>
    <w:p w14:paraId="05F09634" w14:textId="77777777" w:rsidR="00880563" w:rsidRDefault="00880563" w:rsidP="00880563">
      <w:pPr>
        <w:snapToGrid w:val="0"/>
        <w:spacing w:line="200" w:lineRule="atLeast"/>
        <w:ind w:leftChars="329" w:left="1420" w:hangingChars="350" w:hanging="630"/>
        <w:jc w:val="both"/>
        <w:rPr>
          <w:rFonts w:ascii="Arial" w:eastAsia="標楷體" w:hAnsi="標楷體" w:cs="Arial"/>
          <w:color w:val="000000" w:themeColor="text1"/>
          <w:sz w:val="18"/>
          <w:szCs w:val="18"/>
        </w:rPr>
      </w:pPr>
      <w:r w:rsidRPr="00880563">
        <w:rPr>
          <w:rFonts w:ascii="Arial" w:eastAsia="標楷體" w:hAnsi="標楷體" w:cs="Arial" w:hint="eastAsia"/>
          <w:color w:val="000000" w:themeColor="text1"/>
          <w:sz w:val="18"/>
          <w:szCs w:val="18"/>
        </w:rPr>
        <w:t>含價值，即認購權證結算價格為</w:t>
      </w:r>
      <w:r w:rsidRPr="00880563">
        <w:rPr>
          <w:rFonts w:ascii="Arial" w:eastAsia="標楷體" w:hAnsi="標楷體" w:cs="Arial" w:hint="eastAsia"/>
          <w:color w:val="000000" w:themeColor="text1"/>
          <w:sz w:val="18"/>
          <w:szCs w:val="18"/>
        </w:rPr>
        <w:t>Max</w:t>
      </w:r>
      <w:r w:rsidRPr="00880563">
        <w:rPr>
          <w:rFonts w:ascii="Arial" w:eastAsia="標楷體" w:hAnsi="標楷體" w:cs="Arial" w:hint="eastAsia"/>
          <w:color w:val="000000" w:themeColor="text1"/>
          <w:sz w:val="18"/>
          <w:szCs w:val="18"/>
        </w:rPr>
        <w:t>（</w:t>
      </w:r>
      <w:r w:rsidRPr="00880563">
        <w:rPr>
          <w:rFonts w:ascii="Arial" w:eastAsia="標楷體" w:hAnsi="標楷體" w:cs="Arial" w:hint="eastAsia"/>
          <w:color w:val="000000" w:themeColor="text1"/>
          <w:sz w:val="18"/>
          <w:szCs w:val="18"/>
        </w:rPr>
        <w:t xml:space="preserve">0 </w:t>
      </w:r>
      <w:r w:rsidRPr="00880563">
        <w:rPr>
          <w:rFonts w:ascii="Arial" w:eastAsia="標楷體" w:hAnsi="標楷體" w:cs="Arial" w:hint="eastAsia"/>
          <w:color w:val="000000" w:themeColor="text1"/>
          <w:sz w:val="18"/>
          <w:szCs w:val="18"/>
        </w:rPr>
        <w:t>–</w:t>
      </w:r>
      <w:r w:rsidRPr="00880563">
        <w:rPr>
          <w:rFonts w:ascii="Arial" w:eastAsia="標楷體" w:hAnsi="標楷體" w:cs="Arial" w:hint="eastAsia"/>
          <w:color w:val="000000" w:themeColor="text1"/>
          <w:sz w:val="18"/>
          <w:szCs w:val="18"/>
        </w:rPr>
        <w:t xml:space="preserve"> </w:t>
      </w:r>
      <w:r w:rsidRPr="00880563">
        <w:rPr>
          <w:rFonts w:ascii="Arial" w:eastAsia="標楷體" w:hAnsi="標楷體" w:cs="Arial" w:hint="eastAsia"/>
          <w:color w:val="000000" w:themeColor="text1"/>
          <w:sz w:val="18"/>
          <w:szCs w:val="18"/>
        </w:rPr>
        <w:t>最新履約價格，</w:t>
      </w:r>
      <w:r w:rsidRPr="00880563">
        <w:rPr>
          <w:rFonts w:ascii="Arial" w:eastAsia="標楷體" w:hAnsi="標楷體" w:cs="Arial" w:hint="eastAsia"/>
          <w:color w:val="000000" w:themeColor="text1"/>
          <w:sz w:val="18"/>
          <w:szCs w:val="18"/>
        </w:rPr>
        <w:t>0</w:t>
      </w:r>
      <w:r w:rsidRPr="00880563">
        <w:rPr>
          <w:rFonts w:ascii="Arial" w:eastAsia="標楷體" w:hAnsi="標楷體" w:cs="Arial" w:hint="eastAsia"/>
          <w:color w:val="000000" w:themeColor="text1"/>
          <w:sz w:val="18"/>
          <w:szCs w:val="18"/>
        </w:rPr>
        <w:t>）</w:t>
      </w:r>
      <w:r w:rsidRPr="00880563">
        <w:rPr>
          <w:rFonts w:ascii="Arial" w:eastAsia="標楷體" w:hAnsi="標楷體" w:cs="Arial" w:hint="eastAsia"/>
          <w:color w:val="000000" w:themeColor="text1"/>
          <w:sz w:val="18"/>
          <w:szCs w:val="18"/>
        </w:rPr>
        <w:t xml:space="preserve">x </w:t>
      </w:r>
      <w:r w:rsidRPr="00880563">
        <w:rPr>
          <w:rFonts w:ascii="Arial" w:eastAsia="標楷體" w:hAnsi="標楷體" w:cs="Arial" w:hint="eastAsia"/>
          <w:color w:val="000000" w:themeColor="text1"/>
          <w:sz w:val="18"/>
          <w:szCs w:val="18"/>
        </w:rPr>
        <w:t>最新行使比例；認售權證結算價格為</w:t>
      </w:r>
      <w:r w:rsidRPr="00880563">
        <w:rPr>
          <w:rFonts w:ascii="Arial" w:eastAsia="標楷體" w:hAnsi="標楷體" w:cs="Arial" w:hint="eastAsia"/>
          <w:color w:val="000000" w:themeColor="text1"/>
          <w:sz w:val="18"/>
          <w:szCs w:val="18"/>
        </w:rPr>
        <w:t>Max</w:t>
      </w:r>
      <w:r w:rsidRPr="00880563">
        <w:rPr>
          <w:rFonts w:ascii="Arial" w:eastAsia="標楷體" w:hAnsi="標楷體" w:cs="Arial" w:hint="eastAsia"/>
          <w:color w:val="000000" w:themeColor="text1"/>
          <w:sz w:val="18"/>
          <w:szCs w:val="18"/>
        </w:rPr>
        <w:t>（最新履約價格</w:t>
      </w:r>
      <w:r w:rsidRPr="00880563">
        <w:rPr>
          <w:rFonts w:ascii="Arial" w:eastAsia="標楷體" w:hAnsi="標楷體" w:cs="Arial" w:hint="eastAsia"/>
          <w:color w:val="000000" w:themeColor="text1"/>
          <w:sz w:val="18"/>
          <w:szCs w:val="18"/>
        </w:rPr>
        <w:t xml:space="preserve"> </w:t>
      </w:r>
      <w:r w:rsidRPr="00880563">
        <w:rPr>
          <w:rFonts w:ascii="Arial" w:eastAsia="標楷體" w:hAnsi="標楷體" w:cs="Arial" w:hint="eastAsia"/>
          <w:color w:val="000000" w:themeColor="text1"/>
          <w:sz w:val="18"/>
          <w:szCs w:val="18"/>
        </w:rPr>
        <w:t>–</w:t>
      </w:r>
      <w:r w:rsidRPr="00880563">
        <w:rPr>
          <w:rFonts w:ascii="Arial" w:eastAsia="標楷體" w:hAnsi="標楷體" w:cs="Arial" w:hint="eastAsia"/>
          <w:color w:val="000000" w:themeColor="text1"/>
          <w:sz w:val="18"/>
          <w:szCs w:val="18"/>
        </w:rPr>
        <w:t xml:space="preserve"> 0</w:t>
      </w:r>
      <w:r w:rsidRPr="00880563">
        <w:rPr>
          <w:rFonts w:ascii="Arial" w:eastAsia="標楷體" w:hAnsi="標楷體" w:cs="Arial" w:hint="eastAsia"/>
          <w:color w:val="000000" w:themeColor="text1"/>
          <w:sz w:val="18"/>
          <w:szCs w:val="18"/>
        </w:rPr>
        <w:t>，</w:t>
      </w:r>
    </w:p>
    <w:p w14:paraId="79BEFDDD" w14:textId="77777777" w:rsidR="00880563" w:rsidRPr="00880563" w:rsidRDefault="00880563" w:rsidP="00880563">
      <w:pPr>
        <w:snapToGrid w:val="0"/>
        <w:spacing w:line="200" w:lineRule="atLeast"/>
        <w:ind w:leftChars="329" w:left="1420" w:hangingChars="350" w:hanging="630"/>
        <w:jc w:val="both"/>
        <w:rPr>
          <w:rFonts w:ascii="Arial" w:eastAsia="標楷體" w:hAnsi="標楷體" w:cs="Arial"/>
          <w:color w:val="000000" w:themeColor="text1"/>
          <w:sz w:val="18"/>
          <w:szCs w:val="18"/>
        </w:rPr>
      </w:pPr>
      <w:r w:rsidRPr="00880563">
        <w:rPr>
          <w:rFonts w:ascii="Arial" w:eastAsia="標楷體" w:hAnsi="標楷體" w:cs="Arial" w:hint="eastAsia"/>
          <w:color w:val="000000" w:themeColor="text1"/>
          <w:sz w:val="18"/>
          <w:szCs w:val="18"/>
        </w:rPr>
        <w:t>0</w:t>
      </w:r>
      <w:r w:rsidRPr="00880563">
        <w:rPr>
          <w:rFonts w:ascii="Arial" w:eastAsia="標楷體" w:hAnsi="標楷體" w:cs="Arial" w:hint="eastAsia"/>
          <w:color w:val="000000" w:themeColor="text1"/>
          <w:sz w:val="18"/>
          <w:szCs w:val="18"/>
        </w:rPr>
        <w:t>）</w:t>
      </w:r>
      <w:r w:rsidRPr="00880563">
        <w:rPr>
          <w:rFonts w:ascii="Arial" w:eastAsia="標楷體" w:hAnsi="標楷體" w:cs="Arial" w:hint="eastAsia"/>
          <w:color w:val="000000" w:themeColor="text1"/>
          <w:sz w:val="18"/>
          <w:szCs w:val="18"/>
        </w:rPr>
        <w:t xml:space="preserve">x </w:t>
      </w:r>
      <w:r w:rsidRPr="00880563">
        <w:rPr>
          <w:rFonts w:ascii="Arial" w:eastAsia="標楷體" w:hAnsi="標楷體" w:cs="Arial" w:hint="eastAsia"/>
          <w:color w:val="000000" w:themeColor="text1"/>
          <w:sz w:val="18"/>
          <w:szCs w:val="18"/>
        </w:rPr>
        <w:t>最新行使比例。</w:t>
      </w:r>
    </w:p>
    <w:p w14:paraId="2F1DF13C" w14:textId="77777777" w:rsidR="00880563" w:rsidRPr="00880563" w:rsidRDefault="00880563" w:rsidP="00880563">
      <w:pPr>
        <w:snapToGrid w:val="0"/>
        <w:spacing w:line="200" w:lineRule="atLeast"/>
        <w:ind w:leftChars="329" w:left="1420" w:hangingChars="350" w:hanging="630"/>
        <w:jc w:val="both"/>
        <w:rPr>
          <w:rFonts w:ascii="Arial" w:eastAsia="標楷體" w:hAnsi="標楷體" w:cs="Arial"/>
          <w:color w:val="000000" w:themeColor="text1"/>
          <w:sz w:val="18"/>
          <w:szCs w:val="18"/>
        </w:rPr>
      </w:pPr>
      <w:r w:rsidRPr="00880563">
        <w:rPr>
          <w:rFonts w:ascii="Arial" w:eastAsia="標楷體" w:hAnsi="標楷體" w:cs="Arial" w:hint="eastAsia"/>
          <w:color w:val="000000" w:themeColor="text1"/>
          <w:sz w:val="18"/>
          <w:szCs w:val="18"/>
        </w:rPr>
        <w:t>(2)</w:t>
      </w:r>
      <w:r w:rsidRPr="00880563">
        <w:rPr>
          <w:rFonts w:ascii="Arial" w:eastAsia="標楷體" w:hAnsi="標楷體" w:cs="Arial" w:hint="eastAsia"/>
          <w:color w:val="000000" w:themeColor="text1"/>
          <w:sz w:val="18"/>
          <w:szCs w:val="18"/>
        </w:rPr>
        <w:t>若標的證券終止上市不符合（</w:t>
      </w:r>
      <w:r w:rsidRPr="00880563">
        <w:rPr>
          <w:rFonts w:ascii="Arial" w:eastAsia="標楷體" w:hAnsi="標楷體" w:cs="Arial" w:hint="eastAsia"/>
          <w:color w:val="000000" w:themeColor="text1"/>
          <w:sz w:val="18"/>
          <w:szCs w:val="18"/>
        </w:rPr>
        <w:t>1</w:t>
      </w:r>
      <w:r w:rsidRPr="00880563">
        <w:rPr>
          <w:rFonts w:ascii="Arial" w:eastAsia="標楷體" w:hAnsi="標楷體" w:cs="Arial" w:hint="eastAsia"/>
          <w:color w:val="000000" w:themeColor="text1"/>
          <w:sz w:val="18"/>
          <w:szCs w:val="18"/>
        </w:rPr>
        <w:t>）所述，則計算公式採</w:t>
      </w:r>
      <w:r w:rsidRPr="00880563">
        <w:rPr>
          <w:rFonts w:ascii="Arial" w:eastAsia="標楷體" w:hAnsi="標楷體" w:cs="Arial" w:hint="eastAsia"/>
          <w:color w:val="000000" w:themeColor="text1"/>
          <w:sz w:val="18"/>
          <w:szCs w:val="18"/>
        </w:rPr>
        <w:t>Black &amp; Scholes</w:t>
      </w:r>
      <w:r w:rsidRPr="00880563">
        <w:rPr>
          <w:rFonts w:ascii="Arial" w:eastAsia="標楷體" w:hAnsi="標楷體" w:cs="Arial" w:hint="eastAsia"/>
          <w:color w:val="000000" w:themeColor="text1"/>
          <w:sz w:val="18"/>
          <w:szCs w:val="18"/>
        </w:rPr>
        <w:t>公式。</w:t>
      </w:r>
    </w:p>
    <w:p w14:paraId="2ABC5EA5" w14:textId="77777777" w:rsidR="00880563" w:rsidRPr="00880563" w:rsidRDefault="00880563" w:rsidP="00880563">
      <w:pPr>
        <w:snapToGrid w:val="0"/>
        <w:spacing w:line="200" w:lineRule="atLeast"/>
        <w:ind w:leftChars="329" w:left="1420" w:hangingChars="350" w:hanging="630"/>
        <w:jc w:val="both"/>
        <w:rPr>
          <w:rFonts w:ascii="Arial" w:eastAsia="標楷體" w:hAnsi="標楷體" w:cs="Arial"/>
          <w:color w:val="000000" w:themeColor="text1"/>
          <w:sz w:val="18"/>
          <w:szCs w:val="18"/>
        </w:rPr>
      </w:pPr>
      <w:r w:rsidRPr="00880563">
        <w:rPr>
          <w:rFonts w:ascii="Arial" w:eastAsia="標楷體" w:hAnsi="標楷體" w:cs="Arial" w:hint="eastAsia"/>
          <w:color w:val="000000" w:themeColor="text1"/>
          <w:sz w:val="18"/>
          <w:szCs w:val="18"/>
        </w:rPr>
        <w:t>(3)Black &amp; Scholes</w:t>
      </w:r>
      <w:r w:rsidRPr="00880563">
        <w:rPr>
          <w:rFonts w:ascii="Arial" w:eastAsia="標楷體" w:hAnsi="標楷體" w:cs="Arial" w:hint="eastAsia"/>
          <w:color w:val="000000" w:themeColor="text1"/>
          <w:sz w:val="18"/>
          <w:szCs w:val="18"/>
        </w:rPr>
        <w:t>公式之參數採用方式：</w:t>
      </w:r>
    </w:p>
    <w:p w14:paraId="17879D3C" w14:textId="77777777" w:rsidR="00B35B2E" w:rsidRDefault="00880563" w:rsidP="00880563">
      <w:pPr>
        <w:snapToGrid w:val="0"/>
        <w:spacing w:line="200" w:lineRule="atLeast"/>
        <w:ind w:leftChars="329" w:left="1420" w:hangingChars="350" w:hanging="630"/>
        <w:jc w:val="both"/>
        <w:rPr>
          <w:rFonts w:ascii="Arial" w:eastAsia="標楷體" w:hAnsi="標楷體" w:cs="Arial"/>
          <w:color w:val="000000" w:themeColor="text1"/>
          <w:sz w:val="18"/>
          <w:szCs w:val="18"/>
        </w:rPr>
      </w:pPr>
      <w:r w:rsidRPr="00880563">
        <w:rPr>
          <w:rFonts w:ascii="Arial" w:eastAsia="標楷體" w:hAnsi="標楷體" w:cs="Arial" w:hint="eastAsia"/>
          <w:color w:val="000000" w:themeColor="text1"/>
          <w:sz w:val="18"/>
          <w:szCs w:val="18"/>
        </w:rPr>
        <w:t>a.</w:t>
      </w:r>
      <w:r w:rsidRPr="00880563">
        <w:rPr>
          <w:rFonts w:ascii="Arial" w:eastAsia="標楷體" w:hAnsi="標楷體" w:cs="Arial" w:hint="eastAsia"/>
          <w:color w:val="000000" w:themeColor="text1"/>
          <w:sz w:val="18"/>
          <w:szCs w:val="18"/>
        </w:rPr>
        <w:t>標的證券價格：</w:t>
      </w:r>
      <w:r w:rsidR="00B35B2E" w:rsidRPr="00B35B2E">
        <w:rPr>
          <w:rFonts w:ascii="Arial" w:eastAsia="標楷體" w:hAnsi="標楷體" w:cs="Arial" w:hint="eastAsia"/>
          <w:color w:val="000000" w:themeColor="text1"/>
          <w:sz w:val="18"/>
          <w:szCs w:val="18"/>
        </w:rPr>
        <w:t>對價條件為百分之百現金者，以其公告之調整後現金對價作為標的證券價格；其他狀況則採用標的證券最後交易日</w:t>
      </w:r>
    </w:p>
    <w:p w14:paraId="48A7D09A" w14:textId="77777777" w:rsidR="00880563" w:rsidRPr="00B35B2E" w:rsidRDefault="00B35B2E" w:rsidP="00B35B2E">
      <w:pPr>
        <w:snapToGrid w:val="0"/>
        <w:spacing w:line="200" w:lineRule="atLeast"/>
        <w:ind w:leftChars="379" w:left="1450" w:hangingChars="300" w:hanging="540"/>
        <w:jc w:val="both"/>
        <w:rPr>
          <w:rFonts w:ascii="Arial" w:eastAsia="標楷體" w:hAnsi="標楷體" w:cs="Arial"/>
          <w:color w:val="000000" w:themeColor="text1"/>
          <w:sz w:val="18"/>
          <w:szCs w:val="18"/>
        </w:rPr>
      </w:pPr>
      <w:r w:rsidRPr="00B35B2E">
        <w:rPr>
          <w:rFonts w:ascii="Arial" w:eastAsia="標楷體" w:hAnsi="標楷體" w:cs="Arial" w:hint="eastAsia"/>
          <w:color w:val="000000" w:themeColor="text1"/>
          <w:sz w:val="18"/>
          <w:szCs w:val="18"/>
        </w:rPr>
        <w:t>收盤前六十分鐘內成交價格之簡單算術平均價。</w:t>
      </w:r>
    </w:p>
    <w:p w14:paraId="68FA7A8F" w14:textId="77777777" w:rsidR="00880563" w:rsidRPr="00880563" w:rsidRDefault="00880563" w:rsidP="00880563">
      <w:pPr>
        <w:snapToGrid w:val="0"/>
        <w:spacing w:line="200" w:lineRule="atLeast"/>
        <w:ind w:leftChars="329" w:left="1420" w:hangingChars="350" w:hanging="630"/>
        <w:jc w:val="both"/>
        <w:rPr>
          <w:rFonts w:ascii="Arial" w:eastAsia="標楷體" w:hAnsi="標楷體" w:cs="Arial"/>
          <w:color w:val="000000" w:themeColor="text1"/>
          <w:sz w:val="18"/>
          <w:szCs w:val="18"/>
        </w:rPr>
      </w:pPr>
      <w:r w:rsidRPr="00880563">
        <w:rPr>
          <w:rFonts w:ascii="Arial" w:eastAsia="標楷體" w:hAnsi="標楷體" w:cs="Arial" w:hint="eastAsia"/>
          <w:color w:val="000000" w:themeColor="text1"/>
          <w:sz w:val="18"/>
          <w:szCs w:val="18"/>
        </w:rPr>
        <w:t>b.</w:t>
      </w:r>
      <w:r w:rsidRPr="00880563">
        <w:rPr>
          <w:rFonts w:ascii="Arial" w:eastAsia="標楷體" w:hAnsi="標楷體" w:cs="Arial" w:hint="eastAsia"/>
          <w:color w:val="000000" w:themeColor="text1"/>
          <w:sz w:val="18"/>
          <w:szCs w:val="18"/>
        </w:rPr>
        <w:t>履約價格：採用最新之權證履約價格。</w:t>
      </w:r>
    </w:p>
    <w:p w14:paraId="6C3CBF40" w14:textId="77777777" w:rsidR="00880563" w:rsidRPr="00880563" w:rsidRDefault="00880563" w:rsidP="00880563">
      <w:pPr>
        <w:snapToGrid w:val="0"/>
        <w:spacing w:line="200" w:lineRule="atLeast"/>
        <w:ind w:leftChars="329" w:left="1420" w:hangingChars="350" w:hanging="630"/>
        <w:jc w:val="both"/>
        <w:rPr>
          <w:rFonts w:ascii="Arial" w:eastAsia="標楷體" w:hAnsi="標楷體" w:cs="Arial"/>
          <w:color w:val="000000" w:themeColor="text1"/>
          <w:sz w:val="18"/>
          <w:szCs w:val="18"/>
        </w:rPr>
      </w:pPr>
      <w:r w:rsidRPr="00880563">
        <w:rPr>
          <w:rFonts w:ascii="Arial" w:eastAsia="標楷體" w:hAnsi="標楷體" w:cs="Arial" w:hint="eastAsia"/>
          <w:color w:val="000000" w:themeColor="text1"/>
          <w:sz w:val="18"/>
          <w:szCs w:val="18"/>
        </w:rPr>
        <w:t>c.</w:t>
      </w:r>
      <w:r w:rsidRPr="00880563">
        <w:rPr>
          <w:rFonts w:ascii="Arial" w:eastAsia="標楷體" w:hAnsi="標楷體" w:cs="Arial" w:hint="eastAsia"/>
          <w:color w:val="000000" w:themeColor="text1"/>
          <w:sz w:val="18"/>
          <w:szCs w:val="18"/>
        </w:rPr>
        <w:t>執行比例：採用最新之權證執行比例。</w:t>
      </w:r>
    </w:p>
    <w:p w14:paraId="7181EB64" w14:textId="77777777" w:rsidR="00880563" w:rsidRPr="00880563" w:rsidRDefault="00880563" w:rsidP="00880563">
      <w:pPr>
        <w:snapToGrid w:val="0"/>
        <w:spacing w:line="200" w:lineRule="atLeast"/>
        <w:ind w:leftChars="329" w:left="1420" w:hangingChars="350" w:hanging="630"/>
        <w:jc w:val="both"/>
        <w:rPr>
          <w:rFonts w:ascii="Arial" w:eastAsia="標楷體" w:hAnsi="標楷體" w:cs="Arial"/>
          <w:color w:val="000000" w:themeColor="text1"/>
          <w:sz w:val="18"/>
          <w:szCs w:val="18"/>
        </w:rPr>
      </w:pPr>
      <w:r w:rsidRPr="00880563">
        <w:rPr>
          <w:rFonts w:ascii="Arial" w:eastAsia="標楷體" w:hAnsi="標楷體" w:cs="Arial" w:hint="eastAsia"/>
          <w:color w:val="000000" w:themeColor="text1"/>
          <w:sz w:val="18"/>
          <w:szCs w:val="18"/>
        </w:rPr>
        <w:t>d.</w:t>
      </w:r>
      <w:r w:rsidRPr="00880563">
        <w:rPr>
          <w:rFonts w:ascii="Arial" w:eastAsia="標楷體" w:hAnsi="標楷體" w:cs="Arial" w:hint="eastAsia"/>
          <w:color w:val="000000" w:themeColor="text1"/>
          <w:sz w:val="18"/>
          <w:szCs w:val="18"/>
        </w:rPr>
        <w:t>存續期間：依原發行計畫之到期日計算。</w:t>
      </w:r>
    </w:p>
    <w:p w14:paraId="20303FF6" w14:textId="77777777" w:rsidR="00880563" w:rsidRPr="00880563" w:rsidRDefault="00880563" w:rsidP="00880563">
      <w:pPr>
        <w:snapToGrid w:val="0"/>
        <w:spacing w:line="200" w:lineRule="atLeast"/>
        <w:ind w:leftChars="329" w:left="1420" w:hangingChars="350" w:hanging="630"/>
        <w:jc w:val="both"/>
        <w:rPr>
          <w:rFonts w:ascii="Arial" w:eastAsia="標楷體" w:hAnsi="標楷體" w:cs="Arial"/>
          <w:color w:val="000000" w:themeColor="text1"/>
          <w:sz w:val="18"/>
          <w:szCs w:val="18"/>
        </w:rPr>
      </w:pPr>
      <w:r w:rsidRPr="00880563">
        <w:rPr>
          <w:rFonts w:ascii="Arial" w:eastAsia="標楷體" w:hAnsi="標楷體" w:cs="Arial" w:hint="eastAsia"/>
          <w:color w:val="000000" w:themeColor="text1"/>
          <w:sz w:val="18"/>
          <w:szCs w:val="18"/>
        </w:rPr>
        <w:t>e.</w:t>
      </w:r>
      <w:r w:rsidRPr="00880563">
        <w:rPr>
          <w:rFonts w:ascii="Arial" w:eastAsia="標楷體" w:hAnsi="標楷體" w:cs="Arial" w:hint="eastAsia"/>
          <w:color w:val="000000" w:themeColor="text1"/>
          <w:sz w:val="18"/>
          <w:szCs w:val="18"/>
        </w:rPr>
        <w:t>利率：依原發行計畫之利率條件。</w:t>
      </w:r>
    </w:p>
    <w:p w14:paraId="761271BE" w14:textId="77777777" w:rsidR="00880563" w:rsidRPr="00880563" w:rsidRDefault="00880563" w:rsidP="00880563">
      <w:pPr>
        <w:snapToGrid w:val="0"/>
        <w:spacing w:line="200" w:lineRule="atLeast"/>
        <w:ind w:leftChars="329" w:left="1420" w:hangingChars="350" w:hanging="630"/>
        <w:jc w:val="both"/>
        <w:rPr>
          <w:rFonts w:ascii="Arial" w:eastAsia="標楷體" w:hAnsi="標楷體" w:cs="Arial"/>
          <w:color w:val="000000" w:themeColor="text1"/>
          <w:sz w:val="18"/>
          <w:szCs w:val="18"/>
        </w:rPr>
      </w:pPr>
      <w:r w:rsidRPr="00880563">
        <w:rPr>
          <w:rFonts w:ascii="Arial" w:eastAsia="標楷體" w:hAnsi="標楷體" w:cs="Arial" w:hint="eastAsia"/>
          <w:color w:val="000000" w:themeColor="text1"/>
          <w:sz w:val="18"/>
          <w:szCs w:val="18"/>
        </w:rPr>
        <w:t>f.</w:t>
      </w:r>
      <w:r w:rsidRPr="00880563">
        <w:rPr>
          <w:rFonts w:ascii="Arial" w:eastAsia="標楷體" w:hAnsi="標楷體" w:cs="Arial" w:hint="eastAsia"/>
          <w:color w:val="000000" w:themeColor="text1"/>
          <w:sz w:val="18"/>
          <w:szCs w:val="18"/>
        </w:rPr>
        <w:t>現金股利：</w:t>
      </w:r>
      <w:r w:rsidRPr="00880563">
        <w:rPr>
          <w:rFonts w:ascii="Arial" w:eastAsia="標楷體" w:hAnsi="標楷體" w:cs="Arial" w:hint="eastAsia"/>
          <w:color w:val="000000" w:themeColor="text1"/>
          <w:sz w:val="18"/>
          <w:szCs w:val="18"/>
        </w:rPr>
        <w:t>0</w:t>
      </w:r>
      <w:r w:rsidRPr="00880563">
        <w:rPr>
          <w:rFonts w:ascii="Arial" w:eastAsia="標楷體" w:hAnsi="標楷體" w:cs="Arial" w:hint="eastAsia"/>
          <w:color w:val="000000" w:themeColor="text1"/>
          <w:sz w:val="18"/>
          <w:szCs w:val="18"/>
        </w:rPr>
        <w:t>。</w:t>
      </w:r>
    </w:p>
    <w:p w14:paraId="3CA27AC3" w14:textId="77777777" w:rsidR="005B763B" w:rsidRPr="005B763B" w:rsidRDefault="005B763B" w:rsidP="00812D41">
      <w:pPr>
        <w:snapToGrid w:val="0"/>
        <w:spacing w:line="200" w:lineRule="atLeast"/>
        <w:ind w:leftChars="329" w:left="1420" w:hangingChars="350" w:hanging="630"/>
        <w:jc w:val="both"/>
        <w:rPr>
          <w:rFonts w:ascii="Arial" w:eastAsia="標楷體" w:hAnsi="標楷體" w:cs="Arial"/>
          <w:color w:val="000000" w:themeColor="text1"/>
          <w:sz w:val="18"/>
          <w:szCs w:val="18"/>
        </w:rPr>
      </w:pPr>
      <w:r w:rsidRPr="005B763B">
        <w:rPr>
          <w:rFonts w:ascii="Arial" w:eastAsia="標楷體" w:hAnsi="標楷體" w:cs="Arial" w:hint="eastAsia"/>
          <w:color w:val="000000" w:themeColor="text1"/>
          <w:sz w:val="18"/>
          <w:szCs w:val="18"/>
        </w:rPr>
        <w:t>g.</w:t>
      </w:r>
      <w:r w:rsidRPr="005B763B">
        <w:rPr>
          <w:rFonts w:ascii="Arial" w:eastAsia="標楷體" w:hAnsi="標楷體" w:cs="Arial" w:hint="eastAsia"/>
          <w:color w:val="000000" w:themeColor="text1"/>
          <w:sz w:val="18"/>
          <w:szCs w:val="18"/>
        </w:rPr>
        <w:t>股價波動率：</w:t>
      </w:r>
      <w:r w:rsidR="00812D41" w:rsidRPr="00812D41">
        <w:rPr>
          <w:rFonts w:ascii="Arial" w:eastAsia="標楷體" w:hAnsi="標楷體" w:cs="Arial" w:hint="eastAsia"/>
          <w:color w:val="000000" w:themeColor="text1"/>
          <w:sz w:val="18"/>
          <w:szCs w:val="18"/>
        </w:rPr>
        <w:t>該權證之造市波動度。（即權證最後交易日，流動量提供者委託買單造市波動度）</w:t>
      </w:r>
      <w:r w:rsidR="00812D41" w:rsidRPr="005B763B">
        <w:rPr>
          <w:rFonts w:ascii="Arial" w:eastAsia="標楷體" w:hAnsi="標楷體" w:cs="Arial"/>
          <w:color w:val="000000" w:themeColor="text1"/>
          <w:sz w:val="18"/>
          <w:szCs w:val="18"/>
        </w:rPr>
        <w:t xml:space="preserve"> </w:t>
      </w:r>
    </w:p>
    <w:p w14:paraId="404C64AE" w14:textId="77777777" w:rsidR="007B06A3" w:rsidRPr="008E2ED8" w:rsidRDefault="007B06A3" w:rsidP="00880563">
      <w:pPr>
        <w:snapToGrid w:val="0"/>
        <w:spacing w:line="200" w:lineRule="atLeast"/>
        <w:ind w:leftChars="329" w:left="1420" w:hangingChars="350" w:hanging="63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h.</w:t>
      </w:r>
      <w:r w:rsidRPr="008E2ED8">
        <w:rPr>
          <w:rFonts w:ascii="Arial" w:eastAsia="標楷體" w:hAnsi="標楷體" w:cs="Arial" w:hint="eastAsia"/>
          <w:color w:val="000000" w:themeColor="text1"/>
          <w:sz w:val="18"/>
          <w:szCs w:val="18"/>
        </w:rPr>
        <w:t>以上結算價格之計算，以百分位為最小單位，並以千分位四捨五入計算。</w:t>
      </w:r>
    </w:p>
    <w:p w14:paraId="4DBF38E2" w14:textId="77777777" w:rsidR="007B06A3" w:rsidRPr="008E2ED8" w:rsidRDefault="00880563" w:rsidP="008E2ED8">
      <w:pPr>
        <w:snapToGrid w:val="0"/>
        <w:spacing w:line="200" w:lineRule="atLeast"/>
        <w:ind w:leftChars="305" w:left="912" w:hangingChars="100" w:hanging="180"/>
        <w:jc w:val="both"/>
        <w:rPr>
          <w:rFonts w:ascii="Arial" w:eastAsia="標楷體" w:hAnsi="標楷體" w:cs="Arial"/>
          <w:color w:val="000000" w:themeColor="text1"/>
          <w:sz w:val="18"/>
          <w:szCs w:val="18"/>
        </w:rPr>
      </w:pPr>
      <w:r>
        <w:rPr>
          <w:rFonts w:ascii="Arial" w:eastAsia="標楷體" w:hAnsi="標楷體" w:cs="Arial" w:hint="eastAsia"/>
          <w:color w:val="000000" w:themeColor="text1"/>
          <w:sz w:val="18"/>
          <w:szCs w:val="18"/>
        </w:rPr>
        <w:t>3</w:t>
      </w:r>
      <w:r w:rsidR="007B06A3" w:rsidRPr="008E2ED8">
        <w:rPr>
          <w:rFonts w:ascii="Arial" w:eastAsia="標楷體" w:hAnsi="標楷體" w:cs="Arial" w:hint="eastAsia"/>
          <w:color w:val="000000" w:themeColor="text1"/>
          <w:sz w:val="18"/>
          <w:szCs w:val="18"/>
        </w:rPr>
        <w:t>.</w:t>
      </w:r>
      <w:r w:rsidR="007B06A3" w:rsidRPr="008E2ED8">
        <w:rPr>
          <w:rFonts w:ascii="Arial" w:eastAsia="標楷體" w:hAnsi="標楷體" w:cs="Arial" w:hint="eastAsia"/>
          <w:color w:val="000000" w:themeColor="text1"/>
          <w:sz w:val="18"/>
          <w:szCs w:val="18"/>
        </w:rPr>
        <w:t>若標的公司於權證上市交易期間依法進行公司分割</w:t>
      </w:r>
      <w:r w:rsidR="00506943" w:rsidRPr="00506943">
        <w:rPr>
          <w:rFonts w:ascii="Arial" w:eastAsia="標楷體" w:hAnsi="標楷體" w:cs="Arial" w:hint="eastAsia"/>
          <w:color w:val="000000" w:themeColor="text1"/>
          <w:sz w:val="18"/>
          <w:szCs w:val="18"/>
        </w:rPr>
        <w:t>(</w:t>
      </w:r>
      <w:r w:rsidR="00506943" w:rsidRPr="00506943">
        <w:rPr>
          <w:rFonts w:ascii="Arial" w:eastAsia="標楷體" w:hAnsi="標楷體" w:cs="Arial" w:hint="eastAsia"/>
          <w:color w:val="000000" w:themeColor="text1"/>
          <w:sz w:val="18"/>
          <w:szCs w:val="18"/>
        </w:rPr>
        <w:t>指數股票型基金</w:t>
      </w:r>
      <w:r w:rsidR="00506943" w:rsidRPr="00506943">
        <w:rPr>
          <w:rFonts w:ascii="Arial" w:eastAsia="標楷體" w:hAnsi="標楷體" w:cs="Arial" w:hint="eastAsia"/>
          <w:color w:val="000000" w:themeColor="text1"/>
          <w:sz w:val="18"/>
          <w:szCs w:val="18"/>
        </w:rPr>
        <w:t>(ETF)</w:t>
      </w:r>
      <w:r w:rsidR="00506943" w:rsidRPr="00506943">
        <w:rPr>
          <w:rFonts w:ascii="Arial" w:eastAsia="標楷體" w:hAnsi="標楷體" w:cs="Arial" w:hint="eastAsia"/>
          <w:color w:val="000000" w:themeColor="text1"/>
          <w:sz w:val="18"/>
          <w:szCs w:val="18"/>
        </w:rPr>
        <w:t>除外</w:t>
      </w:r>
      <w:r w:rsidR="00506943" w:rsidRPr="00506943">
        <w:rPr>
          <w:rFonts w:ascii="Arial" w:eastAsia="標楷體" w:hAnsi="標楷體" w:cs="Arial" w:hint="eastAsia"/>
          <w:color w:val="000000" w:themeColor="text1"/>
          <w:sz w:val="18"/>
          <w:szCs w:val="18"/>
        </w:rPr>
        <w:t>)</w:t>
      </w:r>
      <w:r w:rsidR="007B06A3" w:rsidRPr="008E2ED8">
        <w:rPr>
          <w:rFonts w:ascii="Arial" w:eastAsia="標楷體" w:hAnsi="標楷體" w:cs="Arial" w:hint="eastAsia"/>
          <w:color w:val="000000" w:themeColor="text1"/>
          <w:sz w:val="18"/>
          <w:szCs w:val="18"/>
        </w:rPr>
        <w:t>以致標的公司之股本產生變化，則不論分割後之存續公司或新設公司是否仍為上市公司，本權證於標的證券停止交易之前一營業日視為提前到期日。本權證之提前到期日為標的證券之最後交易日，本權證之最後交易日為提前到期日前二個營業日，發行人將依本條（五）１</w:t>
      </w:r>
      <w:r w:rsidR="007B06A3" w:rsidRPr="008E2ED8">
        <w:rPr>
          <w:rFonts w:ascii="Arial" w:eastAsia="標楷體" w:hAnsi="標楷體" w:cs="Arial"/>
          <w:color w:val="000000" w:themeColor="text1"/>
          <w:sz w:val="18"/>
          <w:szCs w:val="18"/>
        </w:rPr>
        <w:t>.(1)(2)</w:t>
      </w:r>
      <w:r w:rsidR="007B06A3" w:rsidRPr="008E2ED8">
        <w:rPr>
          <w:rFonts w:ascii="Arial" w:eastAsia="標楷體" w:hAnsi="標楷體" w:cs="Arial" w:hint="eastAsia"/>
          <w:color w:val="000000" w:themeColor="text1"/>
          <w:sz w:val="18"/>
          <w:szCs w:val="18"/>
        </w:rPr>
        <w:t>目之結算辦法進行結算，於提前到期日後三十日內，採現金結算方式結算予持有人。</w:t>
      </w:r>
    </w:p>
    <w:p w14:paraId="3BF60F7E" w14:textId="77777777" w:rsidR="007B06A3" w:rsidRPr="008E2ED8" w:rsidRDefault="007B06A3" w:rsidP="008E2ED8">
      <w:pPr>
        <w:snapToGrid w:val="0"/>
        <w:spacing w:line="200" w:lineRule="atLeast"/>
        <w:ind w:leftChars="387" w:left="1109" w:hangingChars="100" w:hanging="180"/>
        <w:jc w:val="both"/>
        <w:rPr>
          <w:rFonts w:ascii="Arial" w:eastAsia="標楷體" w:hAnsi="標楷體" w:cs="Arial"/>
          <w:color w:val="000000" w:themeColor="text1"/>
          <w:sz w:val="18"/>
          <w:szCs w:val="18"/>
        </w:rPr>
      </w:pPr>
    </w:p>
    <w:p w14:paraId="69BD22FF" w14:textId="77777777" w:rsidR="007B06A3" w:rsidRPr="008E2ED8" w:rsidRDefault="007B06A3" w:rsidP="008E2ED8">
      <w:pPr>
        <w:snapToGrid w:val="0"/>
        <w:spacing w:line="200" w:lineRule="atLeast"/>
        <w:ind w:leftChars="200" w:left="1200" w:hangingChars="400" w:hanging="72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u w:val="single"/>
        </w:rPr>
        <w:lastRenderedPageBreak/>
        <w:t>(</w:t>
      </w:r>
      <w:r w:rsidRPr="008E2ED8">
        <w:rPr>
          <w:rFonts w:ascii="Arial" w:eastAsia="標楷體" w:hAnsi="標楷體" w:cs="Arial" w:hint="eastAsia"/>
          <w:color w:val="000000" w:themeColor="text1"/>
          <w:sz w:val="18"/>
          <w:szCs w:val="18"/>
          <w:u w:val="single"/>
        </w:rPr>
        <w:t>六</w:t>
      </w:r>
      <w:r w:rsidRPr="008E2ED8">
        <w:rPr>
          <w:rFonts w:ascii="Arial" w:eastAsia="標楷體" w:hAnsi="標楷體" w:cs="Arial"/>
          <w:color w:val="000000" w:themeColor="text1"/>
          <w:sz w:val="18"/>
          <w:szCs w:val="18"/>
          <w:u w:val="single"/>
        </w:rPr>
        <w:t>)</w:t>
      </w:r>
      <w:r w:rsidRPr="008E2ED8">
        <w:rPr>
          <w:rFonts w:ascii="Arial" w:eastAsia="標楷體" w:hAnsi="標楷體" w:cs="Arial" w:hint="eastAsia"/>
          <w:color w:val="000000" w:themeColor="text1"/>
          <w:sz w:val="18"/>
          <w:szCs w:val="18"/>
        </w:rPr>
        <w:t>前述事項發生時，發行人將依交易所規定辦理公告。</w:t>
      </w:r>
    </w:p>
    <w:p w14:paraId="17F482C1" w14:textId="77777777" w:rsidR="00880563" w:rsidRDefault="007B06A3" w:rsidP="00880563">
      <w:pPr>
        <w:snapToGrid w:val="0"/>
        <w:spacing w:line="200" w:lineRule="atLeast"/>
        <w:ind w:leftChars="200" w:left="1200" w:hangingChars="400" w:hanging="72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u w:val="single"/>
        </w:rPr>
        <w:t>(</w:t>
      </w:r>
      <w:r w:rsidRPr="008E2ED8">
        <w:rPr>
          <w:rFonts w:ascii="Arial" w:eastAsia="標楷體" w:hAnsi="標楷體" w:cs="Arial" w:hint="eastAsia"/>
          <w:color w:val="000000" w:themeColor="text1"/>
          <w:sz w:val="18"/>
          <w:szCs w:val="18"/>
          <w:u w:val="single"/>
        </w:rPr>
        <w:t>七</w:t>
      </w:r>
      <w:r w:rsidRPr="008E2ED8">
        <w:rPr>
          <w:rFonts w:ascii="Arial" w:eastAsia="標楷體" w:hAnsi="標楷體" w:cs="Arial"/>
          <w:color w:val="000000" w:themeColor="text1"/>
          <w:sz w:val="18"/>
          <w:szCs w:val="18"/>
          <w:u w:val="single"/>
        </w:rPr>
        <w:t>)</w:t>
      </w:r>
      <w:r w:rsidRPr="008E2ED8">
        <w:rPr>
          <w:rFonts w:ascii="Arial" w:eastAsia="標楷體" w:hAnsi="標楷體" w:cs="Arial" w:hint="eastAsia"/>
          <w:color w:val="000000" w:themeColor="text1"/>
          <w:sz w:val="18"/>
          <w:szCs w:val="18"/>
        </w:rPr>
        <w:t>如經主管機關及交易所核定本權證</w:t>
      </w:r>
      <w:r w:rsidRPr="008E2ED8">
        <w:rPr>
          <w:rFonts w:ascii="Arial" w:eastAsia="標楷體" w:hAnsi="標楷體" w:cs="Arial" w:hint="eastAsia"/>
          <w:color w:val="000000" w:themeColor="text1"/>
          <w:sz w:val="18"/>
          <w:szCs w:val="18"/>
          <w:u w:val="single"/>
        </w:rPr>
        <w:t>標的證券公司合併、收購及股份轉換、</w:t>
      </w:r>
      <w:r w:rsidRPr="008E2ED8">
        <w:rPr>
          <w:rFonts w:ascii="Arial" w:eastAsia="標楷體" w:hAnsi="標楷體" w:cs="Arial" w:hint="eastAsia"/>
          <w:color w:val="000000" w:themeColor="text1"/>
          <w:sz w:val="18"/>
          <w:szCs w:val="18"/>
        </w:rPr>
        <w:t>變更交易方式、停止買賣或終止上市</w:t>
      </w:r>
      <w:r w:rsidRPr="008E2ED8">
        <w:rPr>
          <w:rFonts w:ascii="Arial" w:eastAsia="標楷體" w:hAnsi="標楷體" w:cs="Arial" w:hint="eastAsia"/>
          <w:color w:val="000000" w:themeColor="text1"/>
          <w:sz w:val="18"/>
          <w:szCs w:val="18"/>
          <w:u w:val="single"/>
        </w:rPr>
        <w:t>及分割</w:t>
      </w:r>
      <w:r w:rsidRPr="008E2ED8">
        <w:rPr>
          <w:rFonts w:ascii="Arial" w:eastAsia="標楷體" w:hAnsi="標楷體" w:cs="Arial" w:hint="eastAsia"/>
          <w:color w:val="000000" w:themeColor="text1"/>
          <w:sz w:val="18"/>
          <w:szCs w:val="18"/>
        </w:rPr>
        <w:t>者，依本權證</w:t>
      </w:r>
    </w:p>
    <w:p w14:paraId="1A48F218" w14:textId="77777777" w:rsidR="007B06A3" w:rsidRPr="008E2ED8" w:rsidRDefault="007B06A3" w:rsidP="00880563">
      <w:pPr>
        <w:snapToGrid w:val="0"/>
        <w:spacing w:line="200" w:lineRule="atLeast"/>
        <w:ind w:leftChars="300" w:left="1260" w:hangingChars="300" w:hanging="54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發行計畫</w:t>
      </w:r>
      <w:r w:rsidRPr="008E2ED8">
        <w:rPr>
          <w:rFonts w:ascii="Arial" w:eastAsia="標楷體" w:hAnsi="標楷體" w:cs="Arial" w:hint="eastAsia"/>
          <w:color w:val="000000" w:themeColor="text1"/>
          <w:sz w:val="18"/>
          <w:szCs w:val="18"/>
          <w:u w:val="single"/>
        </w:rPr>
        <w:t>公司合併、收購及股份轉換、</w:t>
      </w:r>
      <w:r w:rsidRPr="008E2ED8">
        <w:rPr>
          <w:rFonts w:ascii="Arial" w:eastAsia="標楷體" w:hAnsi="標楷體" w:cs="Arial" w:hint="eastAsia"/>
          <w:color w:val="000000" w:themeColor="text1"/>
          <w:sz w:val="18"/>
          <w:szCs w:val="18"/>
        </w:rPr>
        <w:t>變更交易方式、停止買賣</w:t>
      </w:r>
      <w:r w:rsidRPr="008E2ED8">
        <w:rPr>
          <w:rFonts w:ascii="Arial" w:eastAsia="標楷體" w:hAnsi="標楷體" w:cs="Arial" w:hint="eastAsia"/>
          <w:color w:val="000000" w:themeColor="text1"/>
          <w:sz w:val="18"/>
          <w:szCs w:val="18"/>
          <w:u w:val="single"/>
        </w:rPr>
        <w:t>或</w:t>
      </w:r>
      <w:r w:rsidRPr="008E2ED8">
        <w:rPr>
          <w:rFonts w:ascii="Arial" w:eastAsia="標楷體" w:hAnsi="標楷體" w:cs="Arial" w:hint="eastAsia"/>
          <w:color w:val="000000" w:themeColor="text1"/>
          <w:sz w:val="18"/>
          <w:szCs w:val="18"/>
        </w:rPr>
        <w:t>終止上市</w:t>
      </w:r>
      <w:r w:rsidRPr="008E2ED8">
        <w:rPr>
          <w:rFonts w:ascii="Arial" w:eastAsia="標楷體" w:hAnsi="標楷體" w:cs="Arial" w:hint="eastAsia"/>
          <w:color w:val="000000" w:themeColor="text1"/>
          <w:sz w:val="18"/>
          <w:szCs w:val="18"/>
          <w:u w:val="single"/>
        </w:rPr>
        <w:t>及分割</w:t>
      </w:r>
      <w:r w:rsidRPr="008E2ED8">
        <w:rPr>
          <w:rFonts w:ascii="Arial" w:eastAsia="標楷體" w:hAnsi="標楷體" w:cs="Arial" w:hint="eastAsia"/>
          <w:color w:val="000000" w:themeColor="text1"/>
          <w:sz w:val="18"/>
          <w:szCs w:val="18"/>
        </w:rPr>
        <w:t>之規定辦理。</w:t>
      </w:r>
    </w:p>
    <w:p w14:paraId="7B7C3D3C" w14:textId="77777777" w:rsidR="007B06A3" w:rsidRPr="00A475BE" w:rsidRDefault="00A475BE" w:rsidP="00A475BE">
      <w:pPr>
        <w:snapToGrid w:val="0"/>
        <w:spacing w:line="200" w:lineRule="atLeast"/>
        <w:ind w:firstLineChars="100" w:firstLine="180"/>
        <w:rPr>
          <w:rFonts w:ascii="Arial" w:eastAsia="標楷體" w:hAnsi="Arial" w:cs="Arial"/>
          <w:b/>
          <w:color w:val="000000" w:themeColor="text1"/>
          <w:sz w:val="18"/>
          <w:szCs w:val="18"/>
        </w:rPr>
      </w:pPr>
      <w:r w:rsidRPr="00A475BE">
        <w:rPr>
          <w:rFonts w:ascii="Arial" w:eastAsia="標楷體" w:hAnsi="Arial" w:cs="Arial" w:hint="eastAsia"/>
          <w:b/>
          <w:color w:val="000000" w:themeColor="text1"/>
          <w:sz w:val="18"/>
          <w:szCs w:val="18"/>
        </w:rPr>
        <w:t>十二、</w:t>
      </w:r>
      <w:r w:rsidR="00572393" w:rsidRPr="00A475BE">
        <w:rPr>
          <w:rFonts w:ascii="Arial" w:eastAsia="標楷體" w:hAnsi="Arial" w:cs="Arial" w:hint="eastAsia"/>
          <w:b/>
          <w:color w:val="000000" w:themeColor="text1"/>
          <w:sz w:val="18"/>
          <w:szCs w:val="18"/>
        </w:rPr>
        <w:t>認購</w:t>
      </w:r>
      <w:r w:rsidR="007B06A3" w:rsidRPr="00A475BE">
        <w:rPr>
          <w:rFonts w:ascii="Arial" w:eastAsia="標楷體" w:hAnsi="Arial" w:cs="Arial" w:hint="eastAsia"/>
          <w:b/>
          <w:color w:val="000000" w:themeColor="text1"/>
          <w:sz w:val="18"/>
          <w:szCs w:val="18"/>
        </w:rPr>
        <w:t>權證之買賣及上市</w:t>
      </w:r>
    </w:p>
    <w:p w14:paraId="684621AD" w14:textId="23E9E43B" w:rsidR="007B06A3" w:rsidRPr="008E2ED8" w:rsidRDefault="007B06A3" w:rsidP="008E2ED8">
      <w:pPr>
        <w:snapToGrid w:val="0"/>
        <w:spacing w:line="200" w:lineRule="atLeast"/>
        <w:ind w:leftChars="129" w:left="580" w:hangingChars="150" w:hanging="27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w:t>
      </w:r>
      <w:r w:rsidRPr="008E2ED8">
        <w:rPr>
          <w:rFonts w:ascii="Arial" w:eastAsia="標楷體" w:hAnsi="標楷體" w:cs="Arial" w:hint="eastAsia"/>
          <w:color w:val="000000" w:themeColor="text1"/>
          <w:sz w:val="18"/>
          <w:szCs w:val="18"/>
        </w:rPr>
        <w:t>一</w:t>
      </w:r>
      <w:r w:rsidRPr="008E2ED8">
        <w:rPr>
          <w:rFonts w:ascii="Arial" w:eastAsia="標楷體" w:hAnsi="標楷體" w:cs="Arial" w:hint="eastAsia"/>
          <w:color w:val="000000" w:themeColor="text1"/>
          <w:sz w:val="18"/>
          <w:szCs w:val="18"/>
        </w:rPr>
        <w:t>)</w:t>
      </w:r>
      <w:r w:rsidRPr="008E2ED8">
        <w:rPr>
          <w:rFonts w:ascii="Arial" w:eastAsia="標楷體" w:hAnsi="標楷體" w:cs="Arial"/>
          <w:color w:val="000000" w:themeColor="text1"/>
          <w:sz w:val="18"/>
          <w:szCs w:val="18"/>
        </w:rPr>
        <w:t>本</w:t>
      </w:r>
      <w:r w:rsidRPr="008E2ED8">
        <w:rPr>
          <w:rFonts w:ascii="Arial" w:eastAsia="標楷體" w:hAnsi="標楷體" w:cs="Arial" w:hint="eastAsia"/>
          <w:color w:val="000000" w:themeColor="text1"/>
          <w:sz w:val="18"/>
          <w:szCs w:val="18"/>
        </w:rPr>
        <w:t>認購權證</w:t>
      </w:r>
      <w:r w:rsidRPr="008E2ED8">
        <w:rPr>
          <w:rFonts w:ascii="Arial" w:eastAsia="標楷體" w:hAnsi="標楷體" w:cs="Arial"/>
          <w:color w:val="000000" w:themeColor="text1"/>
          <w:sz w:val="18"/>
          <w:szCs w:val="18"/>
        </w:rPr>
        <w:t>自發行日，俟上市契約經行政院金融監督管理委員會核准後，由發行人向交易所洽定掛牌上市日期。</w:t>
      </w:r>
    </w:p>
    <w:p w14:paraId="6586E5DA" w14:textId="77777777" w:rsidR="007B06A3" w:rsidRPr="008E2ED8" w:rsidRDefault="007B06A3" w:rsidP="008E2ED8">
      <w:pPr>
        <w:snapToGrid w:val="0"/>
        <w:spacing w:line="200" w:lineRule="atLeast"/>
        <w:ind w:leftChars="100" w:left="960" w:hangingChars="400" w:hanging="72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 xml:space="preserve"> (</w:t>
      </w:r>
      <w:r w:rsidRPr="008E2ED8">
        <w:rPr>
          <w:rFonts w:ascii="Arial" w:eastAsia="標楷體" w:hAnsi="標楷體" w:cs="Arial" w:hint="eastAsia"/>
          <w:color w:val="000000" w:themeColor="text1"/>
          <w:sz w:val="18"/>
          <w:szCs w:val="18"/>
        </w:rPr>
        <w:t>二</w:t>
      </w: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上市後之買賣：</w:t>
      </w:r>
    </w:p>
    <w:p w14:paraId="032CCDA4" w14:textId="77777777" w:rsidR="007B06A3" w:rsidRPr="008E2ED8" w:rsidRDefault="007B06A3" w:rsidP="008E2ED8">
      <w:pPr>
        <w:snapToGrid w:val="0"/>
        <w:spacing w:line="200" w:lineRule="atLeast"/>
        <w:ind w:leftChars="200" w:left="48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1.</w:t>
      </w:r>
      <w:r w:rsidRPr="008E2ED8">
        <w:rPr>
          <w:rFonts w:ascii="Arial" w:eastAsia="標楷體" w:hAnsi="標楷體" w:cs="Arial" w:hint="eastAsia"/>
          <w:color w:val="000000" w:themeColor="text1"/>
          <w:sz w:val="18"/>
          <w:szCs w:val="18"/>
        </w:rPr>
        <w:t>本權證於上市後應在集中市場為交易，其交易方式及程序均依交易所之規定。</w:t>
      </w:r>
    </w:p>
    <w:p w14:paraId="68D9C034" w14:textId="77777777" w:rsidR="007B06A3" w:rsidRPr="008E2ED8" w:rsidRDefault="007B06A3" w:rsidP="008E2ED8">
      <w:pPr>
        <w:snapToGrid w:val="0"/>
        <w:spacing w:line="200" w:lineRule="atLeast"/>
        <w:ind w:leftChars="200" w:left="48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2.</w:t>
      </w:r>
      <w:r w:rsidRPr="008E2ED8">
        <w:rPr>
          <w:rFonts w:ascii="Arial" w:eastAsia="標楷體" w:hAnsi="標楷體" w:cs="Arial" w:hint="eastAsia"/>
          <w:color w:val="000000" w:themeColor="text1"/>
          <w:sz w:val="18"/>
          <w:szCs w:val="18"/>
        </w:rPr>
        <w:t>本權證一律委託臺灣集中保管結算所辦理帳簿劃撥，持有人不得申請領回。</w:t>
      </w:r>
    </w:p>
    <w:p w14:paraId="04AF6A81" w14:textId="77777777" w:rsidR="007B06A3" w:rsidRPr="008E2ED8" w:rsidRDefault="007B06A3" w:rsidP="008E2ED8">
      <w:pPr>
        <w:snapToGrid w:val="0"/>
        <w:spacing w:line="200" w:lineRule="atLeast"/>
        <w:ind w:leftChars="200" w:left="48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3.</w:t>
      </w:r>
      <w:r w:rsidRPr="008E2ED8">
        <w:rPr>
          <w:rFonts w:ascii="Arial" w:eastAsia="標楷體" w:hAnsi="標楷體" w:cs="Arial" w:hint="eastAsia"/>
          <w:color w:val="000000" w:themeColor="text1"/>
          <w:sz w:val="18"/>
          <w:szCs w:val="18"/>
        </w:rPr>
        <w:t>買賣本權證應依法繳交證券交易稅捐，並依交易所規定繳付手續費。</w:t>
      </w:r>
    </w:p>
    <w:p w14:paraId="589598A6" w14:textId="77777777" w:rsidR="007B06A3" w:rsidRPr="008E2ED8" w:rsidRDefault="007B06A3" w:rsidP="008E2ED8">
      <w:pPr>
        <w:snapToGrid w:val="0"/>
        <w:spacing w:line="200" w:lineRule="atLeast"/>
        <w:ind w:leftChars="200" w:left="48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4.</w:t>
      </w:r>
      <w:r w:rsidRPr="008E2ED8">
        <w:rPr>
          <w:rFonts w:ascii="Arial" w:eastAsia="標楷體" w:hAnsi="標楷體" w:cs="Arial" w:hint="eastAsia"/>
          <w:color w:val="000000" w:themeColor="text1"/>
          <w:sz w:val="18"/>
          <w:szCs w:val="18"/>
        </w:rPr>
        <w:t>變更交易方式</w:t>
      </w:r>
      <w:r w:rsidRPr="008E2ED8">
        <w:rPr>
          <w:rFonts w:ascii="Arial" w:eastAsia="標楷體" w:hAnsi="標楷體" w:cs="Arial"/>
          <w:color w:val="000000" w:themeColor="text1"/>
          <w:sz w:val="18"/>
          <w:szCs w:val="18"/>
        </w:rPr>
        <w:t xml:space="preserve"> </w:t>
      </w:r>
    </w:p>
    <w:p w14:paraId="7E0E0493" w14:textId="77777777" w:rsidR="001777D5" w:rsidRDefault="007B06A3" w:rsidP="001777D5">
      <w:pPr>
        <w:snapToGrid w:val="0"/>
        <w:spacing w:line="200" w:lineRule="atLeast"/>
        <w:ind w:leftChars="300" w:left="1440" w:hangingChars="400" w:hanging="72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本權證經主管機關及交易所核定變更交易方式者，除依核定之交易方式為交易外，本權證之發行條件不予變更。但發行人認為有必要</w:t>
      </w:r>
    </w:p>
    <w:p w14:paraId="7AD2674C" w14:textId="77777777" w:rsidR="007B06A3" w:rsidRPr="008E2ED8" w:rsidRDefault="007B06A3" w:rsidP="001777D5">
      <w:pPr>
        <w:snapToGrid w:val="0"/>
        <w:spacing w:line="200" w:lineRule="atLeast"/>
        <w:ind w:leftChars="300" w:left="1440" w:hangingChars="400" w:hanging="72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時，得報經交易所同意後，變更發行條件或為其他適當之處理。</w:t>
      </w:r>
    </w:p>
    <w:p w14:paraId="74D1BE06" w14:textId="77777777" w:rsidR="007B06A3" w:rsidRPr="008E2ED8" w:rsidRDefault="007B06A3" w:rsidP="008E2ED8">
      <w:pPr>
        <w:snapToGrid w:val="0"/>
        <w:spacing w:line="200" w:lineRule="atLeast"/>
        <w:ind w:leftChars="200" w:left="48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5.</w:t>
      </w:r>
      <w:r w:rsidRPr="008E2ED8">
        <w:rPr>
          <w:rFonts w:ascii="Arial" w:eastAsia="標楷體" w:hAnsi="標楷體" w:cs="Arial" w:hint="eastAsia"/>
          <w:color w:val="000000" w:themeColor="text1"/>
          <w:sz w:val="18"/>
          <w:szCs w:val="18"/>
        </w:rPr>
        <w:t>停止買賣</w:t>
      </w:r>
    </w:p>
    <w:p w14:paraId="2D73F048" w14:textId="77777777" w:rsidR="007B06A3" w:rsidRPr="008E2ED8" w:rsidRDefault="007B06A3" w:rsidP="008E2ED8">
      <w:pPr>
        <w:snapToGrid w:val="0"/>
        <w:spacing w:line="200" w:lineRule="atLeast"/>
        <w:ind w:leftChars="300" w:left="1440" w:hangingChars="400" w:hanging="72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本權證經主管機關及交易所核定停止買賣者，依下列規定辦理：</w:t>
      </w:r>
    </w:p>
    <w:p w14:paraId="53D5B69F" w14:textId="77777777" w:rsidR="007B06A3" w:rsidRPr="008E2ED8" w:rsidRDefault="007B06A3" w:rsidP="008E2ED8">
      <w:pPr>
        <w:snapToGrid w:val="0"/>
        <w:spacing w:line="200" w:lineRule="atLeast"/>
        <w:ind w:leftChars="300" w:left="1440" w:hangingChars="400" w:hanging="720"/>
        <w:jc w:val="both"/>
        <w:rPr>
          <w:rFonts w:ascii="Arial" w:eastAsia="標楷體" w:hAnsi="標楷體" w:cs="Arial"/>
          <w:color w:val="000000" w:themeColor="text1"/>
          <w:sz w:val="18"/>
          <w:szCs w:val="18"/>
          <w:u w:val="single"/>
        </w:rPr>
      </w:pPr>
      <w:r w:rsidRPr="008E2ED8">
        <w:rPr>
          <w:rFonts w:ascii="Arial" w:eastAsia="標楷體" w:hAnsi="標楷體" w:cs="Arial" w:hint="eastAsia"/>
          <w:color w:val="000000" w:themeColor="text1"/>
          <w:sz w:val="18"/>
          <w:szCs w:val="18"/>
        </w:rPr>
        <w:t>(1)</w:t>
      </w:r>
      <w:r w:rsidRPr="008E2ED8">
        <w:rPr>
          <w:rFonts w:ascii="Arial" w:eastAsia="標楷體" w:hAnsi="標楷體" w:cs="Arial" w:hint="eastAsia"/>
          <w:color w:val="000000" w:themeColor="text1"/>
          <w:sz w:val="18"/>
          <w:szCs w:val="18"/>
        </w:rPr>
        <w:t>因標的證券發生變更交易方式、停止買賣、終止上市</w:t>
      </w:r>
      <w:r w:rsidRPr="008E2ED8">
        <w:rPr>
          <w:rFonts w:ascii="Arial" w:eastAsia="標楷體" w:hAnsi="標楷體" w:cs="Arial" w:hint="eastAsia"/>
          <w:color w:val="000000" w:themeColor="text1"/>
          <w:sz w:val="18"/>
          <w:szCs w:val="18"/>
          <w:u w:val="single"/>
        </w:rPr>
        <w:t>及分割</w:t>
      </w:r>
      <w:r w:rsidRPr="008E2ED8">
        <w:rPr>
          <w:rFonts w:ascii="Arial" w:eastAsia="標楷體" w:hAnsi="標楷體" w:cs="Arial" w:hint="eastAsia"/>
          <w:color w:val="000000" w:themeColor="text1"/>
          <w:sz w:val="18"/>
          <w:szCs w:val="18"/>
        </w:rPr>
        <w:t>或</w:t>
      </w:r>
      <w:r w:rsidRPr="008E2ED8">
        <w:rPr>
          <w:rFonts w:ascii="Arial" w:eastAsia="標楷體" w:hAnsi="標楷體" w:cs="Arial" w:hint="eastAsia"/>
          <w:color w:val="000000" w:themeColor="text1"/>
          <w:sz w:val="18"/>
          <w:szCs w:val="18"/>
          <w:u w:val="single"/>
        </w:rPr>
        <w:t>公司合併、收購及股份轉</w:t>
      </w:r>
    </w:p>
    <w:p w14:paraId="48CBE201" w14:textId="77777777" w:rsidR="007B06A3" w:rsidRPr="008E2ED8" w:rsidRDefault="007B06A3" w:rsidP="008E2ED8">
      <w:pPr>
        <w:snapToGrid w:val="0"/>
        <w:spacing w:line="200" w:lineRule="atLeast"/>
        <w:ind w:leftChars="358" w:left="1399" w:hangingChars="300" w:hanging="54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u w:val="single"/>
        </w:rPr>
        <w:t>換</w:t>
      </w:r>
      <w:r w:rsidRPr="008E2ED8">
        <w:rPr>
          <w:rFonts w:ascii="Arial" w:eastAsia="標楷體" w:hAnsi="標楷體" w:cs="Arial" w:hint="eastAsia"/>
          <w:color w:val="000000" w:themeColor="text1"/>
          <w:sz w:val="18"/>
          <w:szCs w:val="18"/>
        </w:rPr>
        <w:t>所致者：</w:t>
      </w:r>
    </w:p>
    <w:p w14:paraId="50AA1DF3" w14:textId="77777777" w:rsidR="007B06A3" w:rsidRPr="008E2ED8" w:rsidRDefault="007B06A3" w:rsidP="008E2ED8">
      <w:pPr>
        <w:snapToGrid w:val="0"/>
        <w:spacing w:line="200" w:lineRule="atLeast"/>
        <w:ind w:leftChars="387" w:left="1379" w:hangingChars="250" w:hanging="45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依本發行計畫第十一條第</w:t>
      </w:r>
      <w:r w:rsidRPr="008E2ED8">
        <w:rPr>
          <w:rFonts w:ascii="Arial" w:eastAsia="標楷體" w:hAnsi="標楷體" w:cs="Arial" w:hint="eastAsia"/>
          <w:color w:val="000000" w:themeColor="text1"/>
          <w:sz w:val="18"/>
          <w:szCs w:val="18"/>
          <w:u w:val="single"/>
        </w:rPr>
        <w:t>（一）、</w:t>
      </w:r>
      <w:r w:rsidRPr="008E2ED8">
        <w:rPr>
          <w:rFonts w:ascii="Arial" w:eastAsia="標楷體" w:hAnsi="標楷體" w:cs="Arial" w:hint="eastAsia"/>
          <w:color w:val="000000" w:themeColor="text1"/>
          <w:sz w:val="18"/>
          <w:szCs w:val="18"/>
        </w:rPr>
        <w:t>（二）、（三）及第</w:t>
      </w:r>
      <w:r w:rsidRPr="008E2ED8">
        <w:rPr>
          <w:rFonts w:ascii="Arial" w:eastAsia="標楷體" w:hAnsi="標楷體" w:cs="Arial"/>
          <w:color w:val="000000" w:themeColor="text1"/>
          <w:sz w:val="18"/>
          <w:szCs w:val="18"/>
          <w:u w:val="single"/>
        </w:rPr>
        <w:t>(</w:t>
      </w:r>
      <w:r w:rsidRPr="008E2ED8">
        <w:rPr>
          <w:rFonts w:ascii="Arial" w:eastAsia="標楷體" w:hAnsi="標楷體" w:cs="Arial" w:hint="eastAsia"/>
          <w:color w:val="000000" w:themeColor="text1"/>
          <w:sz w:val="18"/>
          <w:szCs w:val="18"/>
          <w:u w:val="single"/>
        </w:rPr>
        <w:t>五</w:t>
      </w:r>
      <w:r w:rsidRPr="008E2ED8">
        <w:rPr>
          <w:rFonts w:ascii="Arial" w:eastAsia="標楷體" w:hAnsi="標楷體" w:cs="Arial"/>
          <w:color w:val="000000" w:themeColor="text1"/>
          <w:sz w:val="18"/>
          <w:szCs w:val="18"/>
          <w:u w:val="single"/>
        </w:rPr>
        <w:t>)</w:t>
      </w:r>
      <w:r w:rsidRPr="008E2ED8">
        <w:rPr>
          <w:rFonts w:ascii="Arial" w:eastAsia="標楷體" w:hAnsi="標楷體" w:cs="Arial" w:hint="eastAsia"/>
          <w:color w:val="000000" w:themeColor="text1"/>
          <w:sz w:val="18"/>
          <w:szCs w:val="18"/>
        </w:rPr>
        <w:t>款規定辦理。</w:t>
      </w:r>
    </w:p>
    <w:p w14:paraId="294BC819" w14:textId="77777777" w:rsidR="007B06A3" w:rsidRPr="008E2ED8" w:rsidRDefault="007B06A3" w:rsidP="008E2ED8">
      <w:pPr>
        <w:snapToGrid w:val="0"/>
        <w:spacing w:line="200" w:lineRule="atLeast"/>
        <w:ind w:leftChars="300" w:left="72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(2)</w:t>
      </w:r>
      <w:r w:rsidRPr="008E2ED8">
        <w:rPr>
          <w:rFonts w:ascii="Arial" w:eastAsia="標楷體" w:hAnsi="標楷體" w:cs="Arial" w:hint="eastAsia"/>
          <w:color w:val="000000" w:themeColor="text1"/>
          <w:sz w:val="18"/>
          <w:szCs w:val="18"/>
        </w:rPr>
        <w:t>因發行人之事由所致者：</w:t>
      </w:r>
    </w:p>
    <w:p w14:paraId="5B48323C" w14:textId="77777777" w:rsidR="007B06A3" w:rsidRPr="008E2ED8" w:rsidRDefault="007B06A3" w:rsidP="008E2ED8">
      <w:pPr>
        <w:snapToGrid w:val="0"/>
        <w:spacing w:line="200" w:lineRule="atLeast"/>
        <w:ind w:leftChars="358" w:left="1399" w:hangingChars="300" w:hanging="54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持有人得於本權證停止買賣期間，向發行人提出履約請求，持有人請求履約時，依本發行</w:t>
      </w:r>
    </w:p>
    <w:p w14:paraId="7BBC08C0" w14:textId="77777777" w:rsidR="007B06A3" w:rsidRPr="008E2ED8" w:rsidRDefault="007B06A3" w:rsidP="008E2ED8">
      <w:pPr>
        <w:snapToGrid w:val="0"/>
        <w:spacing w:line="200" w:lineRule="atLeast"/>
        <w:ind w:leftChars="358" w:left="1399" w:hangingChars="300" w:hanging="54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計畫履約給付之規定辦理。</w:t>
      </w:r>
    </w:p>
    <w:p w14:paraId="77A8AF99" w14:textId="77777777" w:rsidR="007B06A3" w:rsidRPr="008E2ED8" w:rsidRDefault="007B06A3" w:rsidP="008E2ED8">
      <w:pPr>
        <w:snapToGrid w:val="0"/>
        <w:spacing w:line="200" w:lineRule="atLeast"/>
        <w:ind w:leftChars="300" w:left="72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(3)</w:t>
      </w:r>
      <w:r w:rsidRPr="008E2ED8">
        <w:rPr>
          <w:rFonts w:ascii="Arial" w:eastAsia="標楷體" w:hAnsi="標楷體" w:cs="Arial" w:hint="eastAsia"/>
          <w:color w:val="000000" w:themeColor="text1"/>
          <w:sz w:val="18"/>
          <w:szCs w:val="18"/>
        </w:rPr>
        <w:t>前述停止買賣事項發生時，發行人將依交易所規定辦理公告。</w:t>
      </w:r>
    </w:p>
    <w:p w14:paraId="1D65788B" w14:textId="77777777" w:rsidR="007B06A3" w:rsidRPr="008E2ED8" w:rsidRDefault="007B06A3" w:rsidP="008E2ED8">
      <w:pPr>
        <w:snapToGrid w:val="0"/>
        <w:spacing w:line="200" w:lineRule="atLeast"/>
        <w:ind w:leftChars="200" w:left="48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6.</w:t>
      </w:r>
      <w:r w:rsidRPr="008E2ED8">
        <w:rPr>
          <w:rFonts w:ascii="Arial" w:eastAsia="標楷體" w:hAnsi="標楷體" w:cs="Arial" w:hint="eastAsia"/>
          <w:color w:val="000000" w:themeColor="text1"/>
          <w:sz w:val="18"/>
          <w:szCs w:val="18"/>
        </w:rPr>
        <w:t>暫停交易</w:t>
      </w:r>
    </w:p>
    <w:p w14:paraId="58CE3EFE" w14:textId="77777777" w:rsidR="007B06A3" w:rsidRPr="008E2ED8" w:rsidRDefault="007B06A3" w:rsidP="008E2ED8">
      <w:pPr>
        <w:snapToGrid w:val="0"/>
        <w:spacing w:line="200" w:lineRule="atLeast"/>
        <w:ind w:leftChars="258" w:left="1159" w:hangingChars="300" w:hanging="54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本權證經主管機關及交易所核定暫停交易者，依本發行計畫第十一條第</w:t>
      </w: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四</w:t>
      </w: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款規定辦理。</w:t>
      </w:r>
    </w:p>
    <w:p w14:paraId="7B536F96" w14:textId="77777777" w:rsidR="007B06A3" w:rsidRPr="00AE1529" w:rsidRDefault="007B06A3" w:rsidP="008E2ED8">
      <w:pPr>
        <w:snapToGrid w:val="0"/>
        <w:spacing w:line="200" w:lineRule="atLeast"/>
        <w:ind w:leftChars="200" w:left="1200" w:hangingChars="400" w:hanging="72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7.</w:t>
      </w:r>
      <w:r w:rsidRPr="00AE1529">
        <w:rPr>
          <w:rFonts w:ascii="Arial" w:eastAsia="標楷體" w:hAnsi="標楷體" w:cs="Arial"/>
          <w:color w:val="000000" w:themeColor="text1"/>
          <w:sz w:val="18"/>
          <w:szCs w:val="18"/>
        </w:rPr>
        <w:t xml:space="preserve"> </w:t>
      </w:r>
      <w:r w:rsidRPr="00AE1529">
        <w:rPr>
          <w:rFonts w:ascii="Arial" w:eastAsia="標楷體" w:hAnsi="標楷體" w:cs="Arial" w:hint="eastAsia"/>
          <w:color w:val="000000" w:themeColor="text1"/>
          <w:sz w:val="18"/>
          <w:szCs w:val="18"/>
        </w:rPr>
        <w:t>終止上市</w:t>
      </w:r>
    </w:p>
    <w:p w14:paraId="4AECBB1D" w14:textId="77777777" w:rsidR="007B06A3" w:rsidRPr="00AE1529" w:rsidRDefault="007B06A3" w:rsidP="008E2ED8">
      <w:pPr>
        <w:snapToGrid w:val="0"/>
        <w:spacing w:line="200" w:lineRule="atLeast"/>
        <w:ind w:leftChars="358" w:left="1399" w:hangingChars="300" w:hanging="540"/>
        <w:jc w:val="both"/>
        <w:rPr>
          <w:rFonts w:ascii="Arial" w:eastAsia="標楷體" w:hAnsi="標楷體" w:cs="Arial"/>
          <w:color w:val="000000" w:themeColor="text1"/>
          <w:sz w:val="18"/>
          <w:szCs w:val="18"/>
        </w:rPr>
      </w:pPr>
      <w:r w:rsidRPr="00AE1529">
        <w:rPr>
          <w:rFonts w:ascii="Arial" w:eastAsia="標楷體" w:hAnsi="標楷體" w:cs="Arial" w:hint="eastAsia"/>
          <w:color w:val="000000" w:themeColor="text1"/>
          <w:sz w:val="18"/>
          <w:szCs w:val="18"/>
        </w:rPr>
        <w:t>本權證經主管機關及交易所核定終止上市者，依下列規定辦理：</w:t>
      </w:r>
    </w:p>
    <w:p w14:paraId="76D3177B" w14:textId="77777777" w:rsidR="007B06A3" w:rsidRPr="00AE1529" w:rsidRDefault="007B06A3" w:rsidP="00AE1529">
      <w:pPr>
        <w:snapToGrid w:val="0"/>
        <w:spacing w:line="200" w:lineRule="atLeast"/>
        <w:ind w:leftChars="300" w:left="900" w:hangingChars="100" w:hanging="180"/>
        <w:jc w:val="both"/>
        <w:rPr>
          <w:rFonts w:ascii="Arial" w:eastAsia="標楷體" w:hAnsi="標楷體" w:cs="Arial"/>
          <w:color w:val="000000" w:themeColor="text1"/>
          <w:sz w:val="18"/>
          <w:szCs w:val="18"/>
        </w:rPr>
      </w:pPr>
      <w:r w:rsidRPr="00AE1529">
        <w:rPr>
          <w:rFonts w:ascii="Arial" w:eastAsia="標楷體" w:hAnsi="標楷體" w:cs="Arial" w:hint="eastAsia"/>
          <w:color w:val="000000" w:themeColor="text1"/>
          <w:sz w:val="18"/>
          <w:szCs w:val="18"/>
        </w:rPr>
        <w:t>(1)</w:t>
      </w:r>
      <w:r w:rsidRPr="00AE1529">
        <w:rPr>
          <w:rFonts w:ascii="Arial" w:eastAsia="標楷體" w:hAnsi="標楷體" w:cs="Arial" w:hint="eastAsia"/>
          <w:color w:val="000000" w:themeColor="text1"/>
          <w:sz w:val="18"/>
          <w:szCs w:val="18"/>
        </w:rPr>
        <w:t>因標的證券發生變更交易方式、停止買賣、終止上市</w:t>
      </w:r>
      <w:r w:rsidRPr="00AE1529">
        <w:rPr>
          <w:rFonts w:ascii="Arial" w:eastAsia="標楷體" w:hAnsi="標楷體" w:cs="Arial" w:hint="eastAsia"/>
          <w:color w:val="000000" w:themeColor="text1"/>
          <w:sz w:val="18"/>
          <w:szCs w:val="18"/>
          <w:u w:val="single"/>
        </w:rPr>
        <w:t>及分割</w:t>
      </w:r>
      <w:r w:rsidRPr="00AE1529">
        <w:rPr>
          <w:rFonts w:ascii="Arial" w:eastAsia="標楷體" w:hAnsi="標楷體" w:cs="Arial" w:hint="eastAsia"/>
          <w:color w:val="000000" w:themeColor="text1"/>
          <w:sz w:val="18"/>
          <w:szCs w:val="18"/>
        </w:rPr>
        <w:t>或</w:t>
      </w:r>
      <w:r w:rsidRPr="00AE1529">
        <w:rPr>
          <w:rFonts w:ascii="Arial" w:eastAsia="標楷體" w:hAnsi="標楷體" w:cs="Arial" w:hint="eastAsia"/>
          <w:color w:val="000000" w:themeColor="text1"/>
          <w:sz w:val="18"/>
          <w:szCs w:val="18"/>
          <w:u w:val="single"/>
        </w:rPr>
        <w:t>公司合併、收購及股份轉換股票</w:t>
      </w:r>
      <w:r w:rsidRPr="00AE1529">
        <w:rPr>
          <w:rFonts w:ascii="Arial" w:eastAsia="標楷體" w:hAnsi="標楷體" w:cs="Arial" w:hint="eastAsia"/>
          <w:color w:val="000000" w:themeColor="text1"/>
          <w:sz w:val="18"/>
          <w:szCs w:val="18"/>
        </w:rPr>
        <w:t>所致者：</w:t>
      </w:r>
    </w:p>
    <w:p w14:paraId="1B38C29F" w14:textId="77777777" w:rsidR="007B06A3" w:rsidRPr="00AE1529" w:rsidRDefault="007B06A3" w:rsidP="00AE1529">
      <w:pPr>
        <w:snapToGrid w:val="0"/>
        <w:spacing w:line="200" w:lineRule="atLeast"/>
        <w:ind w:leftChars="358" w:left="1399" w:hangingChars="300" w:hanging="540"/>
        <w:jc w:val="both"/>
        <w:rPr>
          <w:rFonts w:ascii="Arial" w:eastAsia="標楷體" w:hAnsi="標楷體" w:cs="Arial"/>
          <w:color w:val="000000" w:themeColor="text1"/>
          <w:sz w:val="18"/>
          <w:szCs w:val="18"/>
        </w:rPr>
      </w:pPr>
      <w:r w:rsidRPr="00AE1529">
        <w:rPr>
          <w:rFonts w:ascii="Arial" w:eastAsia="標楷體" w:hAnsi="標楷體" w:cs="Arial" w:hint="eastAsia"/>
          <w:color w:val="000000" w:themeColor="text1"/>
          <w:sz w:val="18"/>
          <w:szCs w:val="18"/>
        </w:rPr>
        <w:t>依本發行計畫第十一條第</w:t>
      </w:r>
      <w:r w:rsidRPr="00AE1529">
        <w:rPr>
          <w:rFonts w:ascii="Arial" w:eastAsia="標楷體" w:hAnsi="標楷體" w:cs="Arial" w:hint="eastAsia"/>
          <w:color w:val="000000" w:themeColor="text1"/>
          <w:sz w:val="18"/>
          <w:szCs w:val="18"/>
          <w:u w:val="single"/>
        </w:rPr>
        <w:t>（一）、</w:t>
      </w:r>
      <w:r w:rsidRPr="00AE1529">
        <w:rPr>
          <w:rFonts w:ascii="Arial" w:eastAsia="標楷體" w:hAnsi="標楷體" w:cs="Arial" w:hint="eastAsia"/>
          <w:color w:val="000000" w:themeColor="text1"/>
          <w:sz w:val="18"/>
          <w:szCs w:val="18"/>
        </w:rPr>
        <w:t>（二）、（三）及第</w:t>
      </w:r>
      <w:r w:rsidRPr="00AE1529">
        <w:rPr>
          <w:rFonts w:ascii="Arial" w:eastAsia="標楷體" w:hAnsi="標楷體" w:cs="Arial"/>
          <w:color w:val="000000" w:themeColor="text1"/>
          <w:sz w:val="18"/>
          <w:szCs w:val="18"/>
          <w:u w:val="single"/>
        </w:rPr>
        <w:t>(</w:t>
      </w:r>
      <w:r w:rsidRPr="00AE1529">
        <w:rPr>
          <w:rFonts w:ascii="Arial" w:eastAsia="標楷體" w:hAnsi="標楷體" w:cs="Arial" w:hint="eastAsia"/>
          <w:color w:val="000000" w:themeColor="text1"/>
          <w:sz w:val="18"/>
          <w:szCs w:val="18"/>
          <w:u w:val="single"/>
        </w:rPr>
        <w:t>五</w:t>
      </w:r>
      <w:r w:rsidRPr="00AE1529">
        <w:rPr>
          <w:rFonts w:ascii="Arial" w:eastAsia="標楷體" w:hAnsi="標楷體" w:cs="Arial"/>
          <w:color w:val="000000" w:themeColor="text1"/>
          <w:sz w:val="18"/>
          <w:szCs w:val="18"/>
          <w:u w:val="single"/>
        </w:rPr>
        <w:t>)</w:t>
      </w:r>
      <w:r w:rsidRPr="00AE1529">
        <w:rPr>
          <w:rFonts w:ascii="Arial" w:eastAsia="標楷體" w:hAnsi="標楷體" w:cs="Arial" w:hint="eastAsia"/>
          <w:color w:val="000000" w:themeColor="text1"/>
          <w:sz w:val="18"/>
          <w:szCs w:val="18"/>
        </w:rPr>
        <w:t>款規定辦理。</w:t>
      </w:r>
    </w:p>
    <w:p w14:paraId="6B8F07D4" w14:textId="77777777" w:rsidR="00A475BE" w:rsidRPr="00AE1529" w:rsidRDefault="007B06A3" w:rsidP="00AE1529">
      <w:pPr>
        <w:tabs>
          <w:tab w:val="num" w:pos="1621"/>
          <w:tab w:val="left" w:pos="2340"/>
        </w:tabs>
        <w:adjustRightInd/>
        <w:spacing w:line="240" w:lineRule="atLeast"/>
        <w:ind w:firstLineChars="400" w:firstLine="720"/>
        <w:jc w:val="both"/>
        <w:textAlignment w:val="auto"/>
        <w:rPr>
          <w:rFonts w:ascii="標楷體" w:eastAsia="標楷體" w:hAnsi="標楷體"/>
          <w:color w:val="000000" w:themeColor="text1"/>
          <w:sz w:val="18"/>
          <w:szCs w:val="18"/>
        </w:rPr>
      </w:pPr>
      <w:r w:rsidRPr="00AE1529">
        <w:rPr>
          <w:rFonts w:ascii="Arial" w:eastAsia="標楷體" w:hAnsi="標楷體" w:cs="Arial" w:hint="eastAsia"/>
          <w:color w:val="000000" w:themeColor="text1"/>
          <w:sz w:val="18"/>
          <w:szCs w:val="18"/>
        </w:rPr>
        <w:t>(2)</w:t>
      </w:r>
      <w:r w:rsidR="00A475BE" w:rsidRPr="00AE1529">
        <w:rPr>
          <w:rFonts w:ascii="標楷體" w:eastAsia="標楷體" w:hAnsi="標楷體" w:hint="eastAsia"/>
          <w:color w:val="000000" w:themeColor="text1"/>
          <w:sz w:val="18"/>
          <w:szCs w:val="18"/>
        </w:rPr>
        <w:t xml:space="preserve"> 因發行人之事由所致者：</w:t>
      </w:r>
    </w:p>
    <w:p w14:paraId="692C4773" w14:textId="77777777" w:rsidR="00A475BE" w:rsidRPr="00AE1529" w:rsidRDefault="00A475BE" w:rsidP="00AE1529">
      <w:pPr>
        <w:pStyle w:val="a5"/>
        <w:adjustRightInd/>
        <w:spacing w:line="240" w:lineRule="atLeast"/>
        <w:ind w:leftChars="225" w:firstLineChars="200" w:firstLine="360"/>
        <w:rPr>
          <w:rFonts w:hAnsi="標楷體"/>
          <w:color w:val="000000" w:themeColor="text1"/>
          <w:sz w:val="18"/>
          <w:szCs w:val="18"/>
        </w:rPr>
      </w:pPr>
      <w:r w:rsidRPr="00AE1529">
        <w:rPr>
          <w:rFonts w:hAnsi="標楷體" w:hint="eastAsia"/>
          <w:color w:val="000000" w:themeColor="text1"/>
          <w:sz w:val="18"/>
          <w:szCs w:val="18"/>
        </w:rPr>
        <w:t>發行人於權證視為到期日後</w:t>
      </w:r>
      <w:r w:rsidR="00722F5E">
        <w:rPr>
          <w:rFonts w:hAnsi="標楷體" w:hint="eastAsia"/>
          <w:color w:val="000000" w:themeColor="text1"/>
          <w:sz w:val="18"/>
          <w:szCs w:val="18"/>
        </w:rPr>
        <w:t>二</w:t>
      </w:r>
      <w:r w:rsidRPr="00AE1529">
        <w:rPr>
          <w:rFonts w:hAnsi="標楷體" w:hint="eastAsia"/>
          <w:color w:val="000000" w:themeColor="text1"/>
          <w:sz w:val="18"/>
          <w:szCs w:val="18"/>
        </w:rPr>
        <w:t>十個營業日內，採現金結算方式結算予持有人。</w:t>
      </w:r>
    </w:p>
    <w:p w14:paraId="62BDF54B" w14:textId="77777777" w:rsidR="00A475BE" w:rsidRPr="00AE1529" w:rsidRDefault="00A475BE" w:rsidP="00AE1529">
      <w:pPr>
        <w:spacing w:line="240" w:lineRule="atLeast"/>
        <w:ind w:firstLineChars="500" w:firstLine="900"/>
        <w:rPr>
          <w:rFonts w:ascii="標楷體" w:eastAsia="標楷體" w:hAnsi="標楷體"/>
          <w:color w:val="000000" w:themeColor="text1"/>
          <w:sz w:val="18"/>
          <w:szCs w:val="18"/>
        </w:rPr>
      </w:pPr>
      <w:r w:rsidRPr="00AE1529">
        <w:rPr>
          <w:rFonts w:ascii="標楷體" w:eastAsia="標楷體" w:hAnsi="標楷體" w:hint="eastAsia"/>
          <w:color w:val="000000" w:themeColor="text1"/>
          <w:sz w:val="18"/>
          <w:szCs w:val="18"/>
        </w:rPr>
        <w:t>本權證結算價格之計算：</w:t>
      </w:r>
    </w:p>
    <w:p w14:paraId="2C783B61" w14:textId="77777777" w:rsidR="00A475BE" w:rsidRPr="00AE1529" w:rsidRDefault="00A475BE" w:rsidP="00A475BE">
      <w:pPr>
        <w:spacing w:beforeLines="10" w:before="24" w:afterLines="10" w:after="24"/>
        <w:ind w:leftChars="700" w:left="1680"/>
        <w:rPr>
          <w:rFonts w:eastAsia="標楷體"/>
          <w:sz w:val="18"/>
          <w:szCs w:val="18"/>
        </w:rPr>
      </w:pPr>
      <w:r w:rsidRPr="00AE1529">
        <w:rPr>
          <w:rFonts w:eastAsia="標楷體" w:hint="eastAsia"/>
          <w:sz w:val="18"/>
          <w:szCs w:val="18"/>
        </w:rPr>
        <w:t>a.</w:t>
      </w:r>
      <w:r w:rsidRPr="00AE1529">
        <w:rPr>
          <w:rFonts w:eastAsia="標楷體" w:hint="eastAsia"/>
          <w:sz w:val="18"/>
          <w:szCs w:val="18"/>
        </w:rPr>
        <w:t>計算公式採</w:t>
      </w:r>
      <w:r w:rsidRPr="00AE1529">
        <w:rPr>
          <w:rFonts w:eastAsia="標楷體" w:hint="eastAsia"/>
          <w:sz w:val="18"/>
          <w:szCs w:val="18"/>
        </w:rPr>
        <w:t>Black &amp; Scholes</w:t>
      </w:r>
      <w:r w:rsidRPr="00AE1529">
        <w:rPr>
          <w:rFonts w:eastAsia="標楷體" w:hint="eastAsia"/>
          <w:sz w:val="18"/>
          <w:szCs w:val="18"/>
        </w:rPr>
        <w:t>公式。</w:t>
      </w:r>
    </w:p>
    <w:p w14:paraId="1B8AB8C1" w14:textId="77777777" w:rsidR="00A475BE" w:rsidRPr="00AE1529" w:rsidRDefault="00A475BE" w:rsidP="00A475BE">
      <w:pPr>
        <w:spacing w:beforeLines="10" w:before="24" w:afterLines="10" w:after="24"/>
        <w:ind w:leftChars="700" w:left="1680"/>
        <w:rPr>
          <w:rFonts w:eastAsia="標楷體"/>
          <w:sz w:val="18"/>
          <w:szCs w:val="18"/>
        </w:rPr>
      </w:pPr>
      <w:r w:rsidRPr="00AE1529">
        <w:rPr>
          <w:rFonts w:eastAsia="標楷體" w:hint="eastAsia"/>
          <w:sz w:val="18"/>
          <w:szCs w:val="18"/>
        </w:rPr>
        <w:t>b.</w:t>
      </w:r>
      <w:r w:rsidRPr="00AE1529">
        <w:rPr>
          <w:rFonts w:eastAsia="標楷體" w:hint="eastAsia"/>
          <w:sz w:val="18"/>
          <w:szCs w:val="18"/>
        </w:rPr>
        <w:t>參數採用方式：</w:t>
      </w:r>
    </w:p>
    <w:p w14:paraId="33DE86A7" w14:textId="77777777" w:rsidR="00A475BE" w:rsidRPr="00AE1529" w:rsidRDefault="00A475BE" w:rsidP="00A475BE">
      <w:pPr>
        <w:numPr>
          <w:ilvl w:val="0"/>
          <w:numId w:val="17"/>
        </w:numPr>
        <w:adjustRightInd/>
        <w:spacing w:beforeLines="10" w:before="24" w:afterLines="10" w:after="24" w:line="240" w:lineRule="auto"/>
        <w:ind w:hanging="235"/>
        <w:textAlignment w:val="auto"/>
        <w:rPr>
          <w:rFonts w:eastAsia="標楷體"/>
          <w:sz w:val="18"/>
          <w:szCs w:val="18"/>
        </w:rPr>
      </w:pPr>
      <w:r w:rsidRPr="00AE1529">
        <w:rPr>
          <w:rFonts w:eastAsia="標楷體" w:hint="eastAsia"/>
          <w:sz w:val="18"/>
          <w:szCs w:val="18"/>
        </w:rPr>
        <w:t>標的證券價格：採用權證視為到期日標的證券收盤前六十分鐘內成交價格之簡單算術平均價。</w:t>
      </w:r>
    </w:p>
    <w:p w14:paraId="7AE07388" w14:textId="77777777" w:rsidR="00A475BE" w:rsidRPr="00AE1529" w:rsidRDefault="00A475BE" w:rsidP="00A475BE">
      <w:pPr>
        <w:numPr>
          <w:ilvl w:val="0"/>
          <w:numId w:val="17"/>
        </w:numPr>
        <w:adjustRightInd/>
        <w:spacing w:beforeLines="10" w:before="24" w:afterLines="10" w:after="24" w:line="240" w:lineRule="auto"/>
        <w:ind w:hanging="235"/>
        <w:textAlignment w:val="auto"/>
        <w:rPr>
          <w:rFonts w:eastAsia="標楷體"/>
          <w:sz w:val="18"/>
          <w:szCs w:val="18"/>
        </w:rPr>
      </w:pPr>
      <w:r w:rsidRPr="00AE1529">
        <w:rPr>
          <w:rFonts w:eastAsia="標楷體" w:hint="eastAsia"/>
          <w:sz w:val="18"/>
          <w:szCs w:val="18"/>
        </w:rPr>
        <w:t>履約價格：採用最新之權證履約價格。</w:t>
      </w:r>
    </w:p>
    <w:p w14:paraId="0FBD1176" w14:textId="77777777" w:rsidR="00A475BE" w:rsidRPr="00AE1529" w:rsidRDefault="00A475BE" w:rsidP="00A475BE">
      <w:pPr>
        <w:numPr>
          <w:ilvl w:val="0"/>
          <w:numId w:val="17"/>
        </w:numPr>
        <w:adjustRightInd/>
        <w:spacing w:beforeLines="10" w:before="24" w:afterLines="10" w:after="24" w:line="240" w:lineRule="auto"/>
        <w:ind w:hanging="235"/>
        <w:textAlignment w:val="auto"/>
        <w:rPr>
          <w:rFonts w:eastAsia="標楷體"/>
          <w:sz w:val="18"/>
          <w:szCs w:val="18"/>
        </w:rPr>
      </w:pPr>
      <w:r w:rsidRPr="00AE1529">
        <w:rPr>
          <w:rFonts w:eastAsia="標楷體"/>
          <w:sz w:val="18"/>
          <w:szCs w:val="18"/>
        </w:rPr>
        <w:t>執行比例：採用最新之權證執行比例。</w:t>
      </w:r>
    </w:p>
    <w:p w14:paraId="63538274" w14:textId="77777777" w:rsidR="00A475BE" w:rsidRPr="00AE1529" w:rsidRDefault="00A475BE" w:rsidP="00A475BE">
      <w:pPr>
        <w:numPr>
          <w:ilvl w:val="0"/>
          <w:numId w:val="17"/>
        </w:numPr>
        <w:adjustRightInd/>
        <w:spacing w:beforeLines="10" w:before="24" w:afterLines="10" w:after="24" w:line="240" w:lineRule="auto"/>
        <w:ind w:hanging="235"/>
        <w:textAlignment w:val="auto"/>
        <w:rPr>
          <w:rFonts w:eastAsia="標楷體"/>
          <w:sz w:val="18"/>
          <w:szCs w:val="18"/>
        </w:rPr>
      </w:pPr>
      <w:r w:rsidRPr="00AE1529">
        <w:rPr>
          <w:rFonts w:eastAsia="標楷體" w:hint="eastAsia"/>
          <w:sz w:val="18"/>
          <w:szCs w:val="18"/>
        </w:rPr>
        <w:t>存續期間：依原發行計畫之到期日計算。</w:t>
      </w:r>
    </w:p>
    <w:p w14:paraId="15C08AE3" w14:textId="77777777" w:rsidR="00A475BE" w:rsidRPr="00AE1529" w:rsidRDefault="00A475BE" w:rsidP="00A475BE">
      <w:pPr>
        <w:numPr>
          <w:ilvl w:val="0"/>
          <w:numId w:val="17"/>
        </w:numPr>
        <w:adjustRightInd/>
        <w:spacing w:beforeLines="10" w:before="24" w:afterLines="10" w:after="24" w:line="240" w:lineRule="auto"/>
        <w:ind w:hanging="235"/>
        <w:textAlignment w:val="auto"/>
        <w:rPr>
          <w:rFonts w:eastAsia="標楷體"/>
          <w:sz w:val="18"/>
          <w:szCs w:val="18"/>
        </w:rPr>
      </w:pPr>
      <w:r w:rsidRPr="00AE1529">
        <w:rPr>
          <w:rFonts w:eastAsia="標楷體" w:hint="eastAsia"/>
          <w:sz w:val="18"/>
          <w:szCs w:val="18"/>
        </w:rPr>
        <w:t>利率：依原發行計畫之利率條件。</w:t>
      </w:r>
    </w:p>
    <w:p w14:paraId="169CEBC7" w14:textId="77777777" w:rsidR="00A475BE" w:rsidRDefault="00A475BE" w:rsidP="00A475BE">
      <w:pPr>
        <w:numPr>
          <w:ilvl w:val="0"/>
          <w:numId w:val="17"/>
        </w:numPr>
        <w:adjustRightInd/>
        <w:spacing w:beforeLines="10" w:before="24" w:afterLines="10" w:after="24" w:line="240" w:lineRule="auto"/>
        <w:ind w:hanging="235"/>
        <w:textAlignment w:val="auto"/>
        <w:rPr>
          <w:rFonts w:eastAsia="標楷體"/>
          <w:sz w:val="18"/>
          <w:szCs w:val="18"/>
        </w:rPr>
      </w:pPr>
      <w:r w:rsidRPr="00AE1529">
        <w:rPr>
          <w:rFonts w:eastAsia="標楷體" w:hint="eastAsia"/>
          <w:sz w:val="18"/>
          <w:szCs w:val="18"/>
        </w:rPr>
        <w:t>現金股利：</w:t>
      </w:r>
      <w:r w:rsidRPr="00AE1529">
        <w:rPr>
          <w:rFonts w:eastAsia="標楷體" w:hint="eastAsia"/>
          <w:sz w:val="18"/>
          <w:szCs w:val="18"/>
        </w:rPr>
        <w:t>0</w:t>
      </w:r>
      <w:r w:rsidRPr="00AE1529">
        <w:rPr>
          <w:rFonts w:eastAsia="標楷體" w:hint="eastAsia"/>
          <w:sz w:val="18"/>
          <w:szCs w:val="18"/>
        </w:rPr>
        <w:t>。</w:t>
      </w:r>
    </w:p>
    <w:p w14:paraId="1D0DE572" w14:textId="77777777" w:rsidR="00A475BE" w:rsidRPr="00812D41" w:rsidRDefault="00A475BE" w:rsidP="00812D41">
      <w:pPr>
        <w:numPr>
          <w:ilvl w:val="0"/>
          <w:numId w:val="17"/>
        </w:numPr>
        <w:adjustRightInd/>
        <w:spacing w:beforeLines="10" w:before="24" w:afterLines="10" w:after="24" w:line="240" w:lineRule="auto"/>
        <w:ind w:hanging="235"/>
        <w:textAlignment w:val="auto"/>
        <w:rPr>
          <w:rFonts w:eastAsia="標楷體"/>
          <w:sz w:val="18"/>
          <w:szCs w:val="18"/>
        </w:rPr>
      </w:pPr>
      <w:r w:rsidRPr="00812D41">
        <w:rPr>
          <w:rFonts w:eastAsia="標楷體" w:hint="eastAsia"/>
          <w:sz w:val="18"/>
          <w:szCs w:val="18"/>
        </w:rPr>
        <w:t>股價波動率：</w:t>
      </w:r>
      <w:r w:rsidR="00812D41" w:rsidRPr="00812D41">
        <w:rPr>
          <w:rFonts w:eastAsia="標楷體" w:hint="eastAsia"/>
          <w:sz w:val="18"/>
          <w:szCs w:val="18"/>
        </w:rPr>
        <w:t>該權證之造市波動度。（即權證最後交易日，流動量提供者委託買單造市波動度）</w:t>
      </w:r>
      <w:r w:rsidR="00812D41" w:rsidRPr="00812D41">
        <w:rPr>
          <w:rFonts w:eastAsia="標楷體"/>
          <w:sz w:val="18"/>
          <w:szCs w:val="18"/>
        </w:rPr>
        <w:t xml:space="preserve"> </w:t>
      </w:r>
    </w:p>
    <w:p w14:paraId="39280A13" w14:textId="77777777" w:rsidR="00A475BE" w:rsidRPr="00AE1529" w:rsidRDefault="00A475BE" w:rsidP="00A475BE">
      <w:pPr>
        <w:numPr>
          <w:ilvl w:val="0"/>
          <w:numId w:val="17"/>
        </w:numPr>
        <w:tabs>
          <w:tab w:val="num" w:pos="1680"/>
        </w:tabs>
        <w:adjustRightInd/>
        <w:spacing w:beforeLines="10" w:before="24" w:afterLines="10" w:after="24" w:line="240" w:lineRule="auto"/>
        <w:ind w:hanging="235"/>
        <w:textAlignment w:val="auto"/>
        <w:rPr>
          <w:rFonts w:eastAsia="標楷體"/>
          <w:sz w:val="18"/>
          <w:szCs w:val="18"/>
        </w:rPr>
      </w:pPr>
      <w:r w:rsidRPr="00AE1529">
        <w:rPr>
          <w:rFonts w:eastAsia="標楷體" w:hint="eastAsia"/>
          <w:sz w:val="18"/>
          <w:szCs w:val="18"/>
        </w:rPr>
        <w:t>以上結算價格之計算，以百分位為最小單位，並以千分位四捨五入計算。</w:t>
      </w:r>
    </w:p>
    <w:p w14:paraId="50175591" w14:textId="77777777" w:rsidR="007B06A3" w:rsidRPr="008E2ED8" w:rsidRDefault="00A475BE" w:rsidP="00A475BE">
      <w:pPr>
        <w:snapToGrid w:val="0"/>
        <w:spacing w:line="200" w:lineRule="atLeast"/>
        <w:ind w:leftChars="300" w:left="72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 xml:space="preserve"> </w:t>
      </w:r>
      <w:r w:rsidR="007B06A3" w:rsidRPr="008E2ED8">
        <w:rPr>
          <w:rFonts w:ascii="Arial" w:eastAsia="標楷體" w:hAnsi="標楷體" w:cs="Arial" w:hint="eastAsia"/>
          <w:color w:val="000000" w:themeColor="text1"/>
          <w:sz w:val="18"/>
          <w:szCs w:val="18"/>
        </w:rPr>
        <w:t xml:space="preserve">(3) </w:t>
      </w:r>
      <w:r w:rsidR="007B06A3" w:rsidRPr="008E2ED8">
        <w:rPr>
          <w:rFonts w:ascii="Arial" w:eastAsia="標楷體" w:hAnsi="標楷體" w:cs="Arial" w:hint="eastAsia"/>
          <w:color w:val="000000" w:themeColor="text1"/>
          <w:sz w:val="18"/>
          <w:szCs w:val="18"/>
        </w:rPr>
        <w:t>前述終止上市事項發生時，發行人將依交易所規定辦理公告。</w:t>
      </w:r>
    </w:p>
    <w:p w14:paraId="3CA27216" w14:textId="679216E3" w:rsidR="00CC4CDE" w:rsidRDefault="00A475BE" w:rsidP="00A475BE">
      <w:pPr>
        <w:snapToGrid w:val="0"/>
        <w:spacing w:line="200" w:lineRule="atLeast"/>
        <w:ind w:left="541" w:hangingChars="300" w:hanging="541"/>
        <w:jc w:val="both"/>
        <w:rPr>
          <w:rFonts w:ascii="Arial" w:eastAsia="標楷體" w:hAnsi="Arial" w:cs="Arial"/>
          <w:b/>
          <w:color w:val="000000" w:themeColor="text1"/>
          <w:sz w:val="18"/>
          <w:szCs w:val="18"/>
        </w:rPr>
      </w:pPr>
      <w:r w:rsidRPr="00BC4834">
        <w:rPr>
          <w:rFonts w:ascii="Arial" w:eastAsia="標楷體" w:hAnsi="Arial" w:cs="Arial" w:hint="eastAsia"/>
          <w:b/>
          <w:bCs/>
          <w:color w:val="000000" w:themeColor="text1"/>
          <w:sz w:val="18"/>
          <w:szCs w:val="18"/>
        </w:rPr>
        <w:t>十三、</w:t>
      </w:r>
      <w:r w:rsidR="00CC4CDE" w:rsidRPr="00597BDE">
        <w:rPr>
          <w:rFonts w:ascii="Arial" w:eastAsia="標楷體" w:hAnsi="Arial" w:cs="Arial" w:hint="eastAsia"/>
          <w:b/>
          <w:color w:val="000000" w:themeColor="text1"/>
          <w:sz w:val="18"/>
          <w:szCs w:val="18"/>
        </w:rPr>
        <w:t>權證提前終止上市</w:t>
      </w:r>
    </w:p>
    <w:p w14:paraId="4EB8945C" w14:textId="38970CA4" w:rsidR="00CC4CDE" w:rsidRPr="0044392F" w:rsidRDefault="00CC4CDE" w:rsidP="00CC4CDE">
      <w:pPr>
        <w:snapToGrid w:val="0"/>
        <w:spacing w:line="200" w:lineRule="atLeast"/>
        <w:ind w:leftChars="300" w:left="720"/>
        <w:jc w:val="both"/>
        <w:rPr>
          <w:rFonts w:ascii="Arial" w:eastAsia="標楷體" w:hAnsi="Arial" w:cs="Arial"/>
          <w:color w:val="000000" w:themeColor="text1"/>
          <w:sz w:val="18"/>
          <w:szCs w:val="18"/>
          <w:u w:val="single"/>
        </w:rPr>
      </w:pPr>
      <w:r w:rsidRPr="0044392F">
        <w:rPr>
          <w:rFonts w:ascii="Arial" w:eastAsia="標楷體" w:hAnsi="Arial" w:cs="Arial" w:hint="eastAsia"/>
          <w:bCs/>
          <w:color w:val="000000" w:themeColor="text1"/>
          <w:sz w:val="18"/>
          <w:szCs w:val="18"/>
          <w:u w:val="single"/>
        </w:rPr>
        <w:t>認購（售）權證自初次上市二個月（不含）起至到期日前二個月（不含）止，除上（下）限型認購（售）權證外，如無流通在外發行單位且最新履約價格或點數達到價內或價外百分之二十以上者，發行人得申請其提前終止上市，申請日之次一營業日視同該權證最後交</w:t>
      </w:r>
      <w:r w:rsidRPr="0044392F">
        <w:rPr>
          <w:rFonts w:ascii="Arial" w:eastAsia="標楷體" w:hAnsi="Arial" w:cs="Arial" w:hint="eastAsia"/>
          <w:bCs/>
          <w:color w:val="000000" w:themeColor="text1"/>
          <w:sz w:val="18"/>
          <w:szCs w:val="18"/>
          <w:u w:val="single"/>
        </w:rPr>
        <w:t xml:space="preserve">  </w:t>
      </w:r>
      <w:r w:rsidRPr="0044392F">
        <w:rPr>
          <w:rFonts w:ascii="Arial" w:eastAsia="標楷體" w:hAnsi="Arial" w:cs="Arial" w:hint="eastAsia"/>
          <w:bCs/>
          <w:color w:val="000000" w:themeColor="text1"/>
          <w:sz w:val="18"/>
          <w:szCs w:val="18"/>
          <w:u w:val="single"/>
        </w:rPr>
        <w:t>易日，並於次三營業日到期。</w:t>
      </w:r>
    </w:p>
    <w:p w14:paraId="104A018E" w14:textId="77777777" w:rsidR="00CC4CDE" w:rsidRDefault="00597BDE" w:rsidP="00CC4CDE">
      <w:pPr>
        <w:snapToGrid w:val="0"/>
        <w:spacing w:line="200" w:lineRule="atLeast"/>
        <w:rPr>
          <w:rFonts w:ascii="Arial" w:eastAsia="標楷體" w:hAnsi="Arial" w:cs="Arial"/>
          <w:color w:val="000000" w:themeColor="text1"/>
          <w:sz w:val="18"/>
          <w:szCs w:val="18"/>
        </w:rPr>
      </w:pPr>
      <w:r>
        <w:rPr>
          <w:rFonts w:ascii="Arial" w:eastAsia="標楷體" w:hAnsi="Arial" w:cs="Arial" w:hint="eastAsia"/>
          <w:b/>
          <w:color w:val="000000" w:themeColor="text1"/>
          <w:sz w:val="18"/>
          <w:szCs w:val="18"/>
        </w:rPr>
        <w:t>十四、</w:t>
      </w:r>
      <w:r w:rsidR="00CC4CDE" w:rsidRPr="00A475BE">
        <w:rPr>
          <w:rFonts w:ascii="Arial" w:eastAsia="標楷體" w:hAnsi="Arial" w:cs="Arial"/>
          <w:color w:val="000000" w:themeColor="text1"/>
          <w:sz w:val="18"/>
          <w:szCs w:val="18"/>
        </w:rPr>
        <w:t>外國標的證券經所屬證券交易所暫停交易、停止買賣或終止上市，或外國標的指數經編製機構公告</w:t>
      </w:r>
      <w:r w:rsidR="00CC4CDE" w:rsidRPr="00A475BE">
        <w:rPr>
          <w:rFonts w:ascii="Arial" w:eastAsia="標楷體" w:hAnsi="Arial" w:cs="Arial"/>
          <w:color w:val="000000" w:themeColor="text1"/>
          <w:sz w:val="18"/>
          <w:szCs w:val="18"/>
        </w:rPr>
        <w:t xml:space="preserve"> </w:t>
      </w:r>
      <w:r w:rsidR="00CC4CDE" w:rsidRPr="00A475BE">
        <w:rPr>
          <w:rFonts w:ascii="Arial" w:eastAsia="標楷體" w:hAnsi="Arial" w:cs="Arial"/>
          <w:color w:val="000000" w:themeColor="text1"/>
          <w:sz w:val="18"/>
          <w:szCs w:val="18"/>
        </w:rPr>
        <w:t>停止編製該指數等資訊來源及揭露</w:t>
      </w:r>
    </w:p>
    <w:p w14:paraId="60072B58" w14:textId="77777777" w:rsidR="00CC4CDE" w:rsidRDefault="00CC4CDE" w:rsidP="00CC4CDE">
      <w:pPr>
        <w:snapToGrid w:val="0"/>
        <w:spacing w:line="200" w:lineRule="atLeast"/>
        <w:ind w:firstLineChars="300" w:firstLine="540"/>
        <w:rPr>
          <w:rFonts w:ascii="Arial" w:eastAsia="標楷體" w:hAnsi="Arial" w:cs="Arial"/>
          <w:color w:val="000000" w:themeColor="text1"/>
          <w:sz w:val="18"/>
          <w:szCs w:val="18"/>
        </w:rPr>
      </w:pPr>
      <w:r w:rsidRPr="00A475BE">
        <w:rPr>
          <w:rFonts w:ascii="Arial" w:eastAsia="標楷體" w:hAnsi="Arial" w:cs="Arial"/>
          <w:color w:val="000000" w:themeColor="text1"/>
          <w:sz w:val="18"/>
          <w:szCs w:val="18"/>
        </w:rPr>
        <w:t>方式</w:t>
      </w:r>
      <w:r w:rsidRPr="00A475BE">
        <w:rPr>
          <w:rFonts w:ascii="Arial" w:eastAsia="標楷體" w:hAnsi="Arial" w:cs="Arial"/>
          <w:color w:val="000000" w:themeColor="text1"/>
          <w:sz w:val="18"/>
          <w:szCs w:val="18"/>
        </w:rPr>
        <w:t>(</w:t>
      </w:r>
      <w:r w:rsidRPr="00A475BE">
        <w:rPr>
          <w:rFonts w:ascii="Arial" w:eastAsia="標楷體" w:hAnsi="Arial" w:cs="Arial"/>
          <w:color w:val="000000" w:themeColor="text1"/>
          <w:sz w:val="18"/>
          <w:szCs w:val="18"/>
        </w:rPr>
        <w:t>不適用本次發行之權證</w:t>
      </w:r>
      <w:r w:rsidRPr="00A475BE">
        <w:rPr>
          <w:rFonts w:ascii="Arial" w:eastAsia="標楷體" w:hAnsi="Arial" w:cs="Arial"/>
          <w:color w:val="000000" w:themeColor="text1"/>
          <w:sz w:val="18"/>
          <w:szCs w:val="18"/>
        </w:rPr>
        <w:t>)</w:t>
      </w:r>
      <w:r w:rsidRPr="00A475BE">
        <w:rPr>
          <w:rFonts w:ascii="Arial" w:eastAsia="標楷體" w:hAnsi="Arial" w:cs="Arial"/>
          <w:color w:val="000000" w:themeColor="text1"/>
          <w:sz w:val="18"/>
          <w:szCs w:val="18"/>
        </w:rPr>
        <w:t>：本公司於外國標的所屬證券交易所官方網站得知標的證券暫停交易、停止買賣、終止上市等資訊時，即</w:t>
      </w:r>
    </w:p>
    <w:p w14:paraId="1A984DDC" w14:textId="77777777" w:rsidR="00CC4CDE" w:rsidRDefault="00CC4CDE" w:rsidP="00CC4CDE">
      <w:pPr>
        <w:snapToGrid w:val="0"/>
        <w:spacing w:line="200" w:lineRule="atLeast"/>
        <w:ind w:firstLineChars="300" w:firstLine="540"/>
        <w:rPr>
          <w:rFonts w:ascii="Arial" w:eastAsia="標楷體" w:hAnsi="Arial" w:cs="Arial"/>
          <w:color w:val="000000" w:themeColor="text1"/>
          <w:sz w:val="18"/>
          <w:szCs w:val="18"/>
        </w:rPr>
      </w:pPr>
      <w:r w:rsidRPr="00A475BE">
        <w:rPr>
          <w:rFonts w:ascii="Arial" w:eastAsia="標楷體" w:hAnsi="Arial" w:cs="Arial"/>
          <w:color w:val="000000" w:themeColor="text1"/>
          <w:sz w:val="18"/>
          <w:szCs w:val="18"/>
        </w:rPr>
        <w:t>通知臺灣證券交易所，並於本公司網站及臺灣證券交易所指定之網際網路資訊系統</w:t>
      </w:r>
      <w:r w:rsidRPr="00034F3F">
        <w:rPr>
          <w:rFonts w:ascii="Arial" w:eastAsia="標楷體" w:hAnsi="Arial" w:cs="Arial"/>
          <w:color w:val="000000" w:themeColor="text1"/>
          <w:sz w:val="18"/>
          <w:szCs w:val="18"/>
        </w:rPr>
        <w:t>(https://mops.twse.com.tw/mops/web/index)</w:t>
      </w:r>
      <w:r w:rsidRPr="00A475BE">
        <w:rPr>
          <w:rFonts w:ascii="Arial" w:eastAsia="標楷體" w:hAnsi="Arial" w:cs="Arial"/>
          <w:color w:val="000000" w:themeColor="text1"/>
          <w:sz w:val="18"/>
          <w:szCs w:val="18"/>
        </w:rPr>
        <w:t>公告相</w:t>
      </w:r>
    </w:p>
    <w:p w14:paraId="4A069A72" w14:textId="783E418A" w:rsidR="00CC4CDE" w:rsidRPr="00CC4CDE" w:rsidRDefault="00CC4CDE" w:rsidP="00CC4CDE">
      <w:pPr>
        <w:snapToGrid w:val="0"/>
        <w:spacing w:line="200" w:lineRule="atLeast"/>
        <w:ind w:firstLineChars="300" w:firstLine="540"/>
        <w:rPr>
          <w:rFonts w:ascii="Arial" w:eastAsia="標楷體" w:hAnsi="Arial" w:cs="Arial"/>
          <w:b/>
          <w:color w:val="000000" w:themeColor="text1"/>
          <w:sz w:val="18"/>
          <w:szCs w:val="18"/>
        </w:rPr>
      </w:pPr>
      <w:r w:rsidRPr="00A475BE">
        <w:rPr>
          <w:rFonts w:ascii="Arial" w:eastAsia="標楷體" w:hAnsi="Arial" w:cs="Arial"/>
          <w:color w:val="000000" w:themeColor="text1"/>
          <w:sz w:val="18"/>
          <w:szCs w:val="18"/>
        </w:rPr>
        <w:t>關訊息</w:t>
      </w:r>
      <w:r>
        <w:rPr>
          <w:rFonts w:ascii="Arial" w:eastAsia="標楷體" w:hAnsi="Arial" w:cs="Arial" w:hint="eastAsia"/>
          <w:color w:val="000000" w:themeColor="text1"/>
          <w:sz w:val="18"/>
          <w:szCs w:val="18"/>
        </w:rPr>
        <w:t>。</w:t>
      </w:r>
    </w:p>
    <w:p w14:paraId="1E7EE8DA" w14:textId="064AB57F" w:rsidR="00836370" w:rsidRPr="00A475BE" w:rsidRDefault="00A475BE" w:rsidP="00A475BE">
      <w:pPr>
        <w:snapToGrid w:val="0"/>
        <w:spacing w:line="200" w:lineRule="atLeast"/>
        <w:rPr>
          <w:rFonts w:ascii="Arial" w:eastAsia="標楷體" w:hAnsi="Arial" w:cs="Arial"/>
          <w:b/>
          <w:color w:val="000000" w:themeColor="text1"/>
          <w:sz w:val="18"/>
          <w:szCs w:val="18"/>
        </w:rPr>
      </w:pPr>
      <w:r>
        <w:rPr>
          <w:rFonts w:ascii="Arial" w:eastAsia="標楷體" w:hAnsi="Arial" w:cs="Arial" w:hint="eastAsia"/>
          <w:b/>
          <w:color w:val="000000" w:themeColor="text1"/>
          <w:sz w:val="18"/>
          <w:szCs w:val="18"/>
        </w:rPr>
        <w:t>十</w:t>
      </w:r>
      <w:r w:rsidR="00597BDE">
        <w:rPr>
          <w:rFonts w:ascii="Arial" w:eastAsia="標楷體" w:hAnsi="Arial" w:cs="Arial" w:hint="eastAsia"/>
          <w:b/>
          <w:color w:val="000000" w:themeColor="text1"/>
          <w:sz w:val="18"/>
          <w:szCs w:val="18"/>
        </w:rPr>
        <w:t>五</w:t>
      </w:r>
      <w:r>
        <w:rPr>
          <w:rFonts w:ascii="Arial" w:eastAsia="標楷體" w:hAnsi="Arial" w:cs="Arial" w:hint="eastAsia"/>
          <w:b/>
          <w:color w:val="000000" w:themeColor="text1"/>
          <w:sz w:val="18"/>
          <w:szCs w:val="18"/>
        </w:rPr>
        <w:t>、</w:t>
      </w:r>
      <w:r w:rsidR="0080085B" w:rsidRPr="00A475BE">
        <w:rPr>
          <w:rFonts w:ascii="Arial" w:eastAsia="標楷體" w:hAnsi="Arial" w:cs="Arial"/>
          <w:b/>
          <w:color w:val="000000" w:themeColor="text1"/>
          <w:sz w:val="18"/>
          <w:szCs w:val="18"/>
        </w:rPr>
        <w:t>認購權證</w:t>
      </w:r>
      <w:r w:rsidR="00A349DC" w:rsidRPr="00A475BE">
        <w:rPr>
          <w:rFonts w:ascii="Arial" w:eastAsia="標楷體" w:hAnsi="Arial" w:cs="Arial"/>
          <w:b/>
          <w:color w:val="000000" w:themeColor="text1"/>
          <w:sz w:val="18"/>
          <w:szCs w:val="18"/>
        </w:rPr>
        <w:t>存續期屆滿之效力</w:t>
      </w:r>
    </w:p>
    <w:p w14:paraId="05B7C58C" w14:textId="77777777" w:rsidR="00AA4461" w:rsidRPr="008E2ED8" w:rsidRDefault="00A349DC" w:rsidP="008E2ED8">
      <w:pPr>
        <w:snapToGrid w:val="0"/>
        <w:spacing w:line="200" w:lineRule="atLeast"/>
        <w:ind w:leftChars="199" w:left="478"/>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本</w:t>
      </w:r>
      <w:r w:rsidR="0080085B" w:rsidRPr="008E2ED8">
        <w:rPr>
          <w:rFonts w:ascii="Arial" w:eastAsia="標楷體" w:hAnsi="Arial" w:cs="Arial"/>
          <w:color w:val="000000" w:themeColor="text1"/>
          <w:sz w:val="18"/>
          <w:szCs w:val="18"/>
        </w:rPr>
        <w:t>認購權證</w:t>
      </w:r>
      <w:r w:rsidRPr="008E2ED8">
        <w:rPr>
          <w:rFonts w:ascii="Arial" w:eastAsia="標楷體" w:hAnsi="Arial" w:cs="Arial"/>
          <w:color w:val="000000" w:themeColor="text1"/>
          <w:sz w:val="18"/>
          <w:szCs w:val="18"/>
        </w:rPr>
        <w:t>存續期間屆滿日或視為到期日，持有人未請求履約者，</w:t>
      </w:r>
      <w:r w:rsidR="0080085B" w:rsidRPr="008E2ED8">
        <w:rPr>
          <w:rFonts w:ascii="Arial" w:eastAsia="標楷體" w:hAnsi="Arial" w:cs="Arial"/>
          <w:color w:val="000000" w:themeColor="text1"/>
          <w:sz w:val="18"/>
          <w:szCs w:val="18"/>
        </w:rPr>
        <w:t>認購權證</w:t>
      </w:r>
      <w:r w:rsidRPr="008E2ED8">
        <w:rPr>
          <w:rFonts w:ascii="Arial" w:eastAsia="標楷體" w:hAnsi="Arial" w:cs="Arial"/>
          <w:color w:val="000000" w:themeColor="text1"/>
          <w:sz w:val="18"/>
          <w:szCs w:val="18"/>
        </w:rPr>
        <w:t>失其效力，除本發行計畫另有規定外，發行人對</w:t>
      </w:r>
      <w:r w:rsidR="0080085B" w:rsidRPr="008E2ED8">
        <w:rPr>
          <w:rFonts w:ascii="Arial" w:eastAsia="標楷體" w:hAnsi="Arial" w:cs="Arial"/>
          <w:color w:val="000000" w:themeColor="text1"/>
          <w:sz w:val="18"/>
          <w:szCs w:val="18"/>
        </w:rPr>
        <w:t>認購權證</w:t>
      </w:r>
      <w:r w:rsidRPr="008E2ED8">
        <w:rPr>
          <w:rFonts w:ascii="Arial" w:eastAsia="標楷體" w:hAnsi="Arial" w:cs="Arial"/>
          <w:color w:val="000000" w:themeColor="text1"/>
          <w:sz w:val="18"/>
          <w:szCs w:val="18"/>
        </w:rPr>
        <w:t>不負任何責任。</w:t>
      </w:r>
    </w:p>
    <w:p w14:paraId="762230DF" w14:textId="677E497C" w:rsidR="00A349DC" w:rsidRPr="008E2ED8" w:rsidRDefault="00F02E58" w:rsidP="008E2ED8">
      <w:pPr>
        <w:snapToGrid w:val="0"/>
        <w:spacing w:line="200" w:lineRule="atLeast"/>
        <w:rPr>
          <w:rFonts w:ascii="Arial" w:eastAsia="標楷體" w:hAnsi="Arial" w:cs="Arial"/>
          <w:color w:val="000000" w:themeColor="text1"/>
          <w:sz w:val="18"/>
          <w:szCs w:val="18"/>
        </w:rPr>
      </w:pPr>
      <w:r w:rsidRPr="00A475BE">
        <w:rPr>
          <w:rFonts w:ascii="Arial" w:eastAsia="標楷體" w:hAnsi="Arial" w:cs="Arial"/>
          <w:b/>
          <w:color w:val="000000" w:themeColor="text1"/>
          <w:sz w:val="20"/>
        </w:rPr>
        <w:t>十</w:t>
      </w:r>
      <w:r w:rsidR="00597BDE">
        <w:rPr>
          <w:rFonts w:ascii="Arial" w:eastAsia="標楷體" w:hAnsi="Arial" w:cs="Arial" w:hint="eastAsia"/>
          <w:b/>
          <w:color w:val="000000" w:themeColor="text1"/>
          <w:sz w:val="20"/>
        </w:rPr>
        <w:t>六</w:t>
      </w:r>
      <w:r w:rsidRPr="00A475BE">
        <w:rPr>
          <w:rFonts w:ascii="Arial" w:eastAsia="標楷體" w:hAnsi="Arial" w:cs="Arial"/>
          <w:b/>
          <w:color w:val="000000" w:themeColor="text1"/>
          <w:sz w:val="20"/>
        </w:rPr>
        <w:t>、</w:t>
      </w:r>
      <w:r w:rsidR="0080085B" w:rsidRPr="008E2ED8">
        <w:rPr>
          <w:rFonts w:ascii="Arial" w:eastAsia="標楷體" w:hAnsi="Arial" w:cs="Arial"/>
          <w:b/>
          <w:color w:val="000000" w:themeColor="text1"/>
          <w:sz w:val="18"/>
          <w:szCs w:val="18"/>
        </w:rPr>
        <w:t>認購權證</w:t>
      </w:r>
      <w:r w:rsidR="00A349DC" w:rsidRPr="008E2ED8">
        <w:rPr>
          <w:rFonts w:ascii="Arial" w:eastAsia="標楷體" w:hAnsi="Arial" w:cs="Arial"/>
          <w:b/>
          <w:color w:val="000000" w:themeColor="text1"/>
          <w:sz w:val="18"/>
          <w:szCs w:val="18"/>
        </w:rPr>
        <w:t>之轉換</w:t>
      </w:r>
    </w:p>
    <w:p w14:paraId="18B9D0E0" w14:textId="77777777" w:rsidR="00A349DC" w:rsidRPr="008E2ED8" w:rsidRDefault="00A349DC" w:rsidP="008E2ED8">
      <w:pPr>
        <w:tabs>
          <w:tab w:val="num" w:pos="1160"/>
        </w:tabs>
        <w:snapToGrid w:val="0"/>
        <w:spacing w:line="200" w:lineRule="atLeast"/>
        <w:ind w:firstLineChars="342" w:firstLine="616"/>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發行人不得主動轉換為存續期間長於本</w:t>
      </w:r>
      <w:r w:rsidR="0080085B" w:rsidRPr="008E2ED8">
        <w:rPr>
          <w:rFonts w:ascii="Arial" w:eastAsia="標楷體" w:hAnsi="Arial" w:cs="Arial"/>
          <w:color w:val="000000" w:themeColor="text1"/>
          <w:sz w:val="18"/>
          <w:szCs w:val="18"/>
        </w:rPr>
        <w:t>認購權證</w:t>
      </w:r>
      <w:r w:rsidRPr="008E2ED8">
        <w:rPr>
          <w:rFonts w:ascii="Arial" w:eastAsia="標楷體" w:hAnsi="Arial" w:cs="Arial"/>
          <w:color w:val="000000" w:themeColor="text1"/>
          <w:sz w:val="18"/>
          <w:szCs w:val="18"/>
        </w:rPr>
        <w:t>之另一</w:t>
      </w:r>
      <w:r w:rsidR="0080085B" w:rsidRPr="008E2ED8">
        <w:rPr>
          <w:rFonts w:ascii="Arial" w:eastAsia="標楷體" w:hAnsi="Arial" w:cs="Arial"/>
          <w:color w:val="000000" w:themeColor="text1"/>
          <w:sz w:val="18"/>
          <w:szCs w:val="18"/>
        </w:rPr>
        <w:t>認購權證</w:t>
      </w:r>
      <w:r w:rsidRPr="008E2ED8">
        <w:rPr>
          <w:rFonts w:ascii="Arial" w:eastAsia="標楷體" w:hAnsi="Arial" w:cs="Arial"/>
          <w:color w:val="000000" w:themeColor="text1"/>
          <w:sz w:val="18"/>
          <w:szCs w:val="18"/>
        </w:rPr>
        <w:t>或其他證券。</w:t>
      </w:r>
    </w:p>
    <w:p w14:paraId="2B8EF093" w14:textId="66BEA67B" w:rsidR="00836370" w:rsidRPr="008E2ED8" w:rsidRDefault="00F02E58" w:rsidP="00A475BE">
      <w:pPr>
        <w:snapToGrid w:val="0"/>
        <w:spacing w:line="200" w:lineRule="atLeast"/>
        <w:ind w:left="801" w:hangingChars="400" w:hanging="801"/>
        <w:jc w:val="both"/>
        <w:rPr>
          <w:rFonts w:ascii="Arial" w:eastAsia="標楷體" w:hAnsi="Arial" w:cs="Arial"/>
          <w:color w:val="000000" w:themeColor="text1"/>
          <w:sz w:val="18"/>
          <w:szCs w:val="18"/>
        </w:rPr>
      </w:pPr>
      <w:r w:rsidRPr="00A475BE">
        <w:rPr>
          <w:rFonts w:ascii="Arial" w:eastAsia="標楷體" w:hAnsi="Arial" w:cs="Arial"/>
          <w:b/>
          <w:color w:val="000000" w:themeColor="text1"/>
          <w:sz w:val="20"/>
        </w:rPr>
        <w:t>十</w:t>
      </w:r>
      <w:r w:rsidR="00597BDE">
        <w:rPr>
          <w:rFonts w:ascii="Arial" w:eastAsia="標楷體" w:hAnsi="Arial" w:cs="Arial" w:hint="eastAsia"/>
          <w:b/>
          <w:color w:val="000000" w:themeColor="text1"/>
          <w:sz w:val="20"/>
        </w:rPr>
        <w:t>七</w:t>
      </w:r>
      <w:r w:rsidRPr="00A475BE">
        <w:rPr>
          <w:rFonts w:ascii="Arial" w:eastAsia="標楷體" w:hAnsi="Arial" w:cs="Arial"/>
          <w:b/>
          <w:color w:val="000000" w:themeColor="text1"/>
          <w:sz w:val="20"/>
        </w:rPr>
        <w:t>、</w:t>
      </w:r>
      <w:r w:rsidR="00836370" w:rsidRPr="008E2ED8">
        <w:rPr>
          <w:rFonts w:ascii="Arial" w:eastAsia="標楷體" w:hAnsi="Arial" w:cs="Arial"/>
          <w:b/>
          <w:color w:val="000000" w:themeColor="text1"/>
          <w:sz w:val="18"/>
          <w:szCs w:val="18"/>
        </w:rPr>
        <w:t>發行人未於規定時限履行義務時，對其於臺灣集中保管結算所股份有限公司帳戶內存券之分配處理方式</w:t>
      </w:r>
      <w:r w:rsidR="00836370" w:rsidRPr="008E2ED8">
        <w:rPr>
          <w:rFonts w:ascii="Arial" w:eastAsia="標楷體" w:hAnsi="Arial" w:cs="Arial"/>
          <w:b/>
          <w:color w:val="000000" w:themeColor="text1"/>
          <w:sz w:val="18"/>
          <w:szCs w:val="18"/>
        </w:rPr>
        <w:br/>
      </w:r>
      <w:r w:rsidR="00836370" w:rsidRPr="008E2ED8">
        <w:rPr>
          <w:rFonts w:ascii="Arial" w:eastAsia="標楷體" w:hAnsi="Arial" w:cs="Arial"/>
          <w:color w:val="000000" w:themeColor="text1"/>
          <w:sz w:val="18"/>
          <w:szCs w:val="18"/>
        </w:rPr>
        <w:t>發行人若未能於規定時限內履行其交付標的證券或現金差價之義務時，發行人於臺灣集中保管結算所股份有限公司開立之集保履約專戶內之存券，概依民法及其他相關法令中有關債權人求償之相關規定，優先償還權證持有人。</w:t>
      </w:r>
    </w:p>
    <w:p w14:paraId="25B01105" w14:textId="34944C09" w:rsidR="00836370" w:rsidRPr="008E2ED8" w:rsidRDefault="004A7204" w:rsidP="00A475BE">
      <w:pPr>
        <w:snapToGrid w:val="0"/>
        <w:spacing w:line="200" w:lineRule="atLeast"/>
        <w:ind w:left="721" w:hangingChars="360" w:hanging="721"/>
        <w:jc w:val="both"/>
        <w:rPr>
          <w:rFonts w:ascii="Arial" w:eastAsia="標楷體" w:hAnsi="Arial" w:cs="Arial"/>
          <w:color w:val="000000" w:themeColor="text1"/>
          <w:sz w:val="18"/>
          <w:szCs w:val="18"/>
        </w:rPr>
      </w:pPr>
      <w:r w:rsidRPr="00A475BE">
        <w:rPr>
          <w:rFonts w:ascii="Arial" w:eastAsia="標楷體" w:hAnsi="Arial" w:cs="Arial"/>
          <w:b/>
          <w:color w:val="000000" w:themeColor="text1"/>
          <w:sz w:val="20"/>
        </w:rPr>
        <w:t>十</w:t>
      </w:r>
      <w:r w:rsidR="00597BDE">
        <w:rPr>
          <w:rFonts w:ascii="Arial" w:eastAsia="標楷體" w:hAnsi="Arial" w:cs="Arial" w:hint="eastAsia"/>
          <w:b/>
          <w:color w:val="000000" w:themeColor="text1"/>
          <w:sz w:val="20"/>
        </w:rPr>
        <w:t>八</w:t>
      </w:r>
      <w:r w:rsidR="00F02E58" w:rsidRPr="00A475BE">
        <w:rPr>
          <w:rFonts w:ascii="Arial" w:eastAsia="標楷體" w:hAnsi="Arial" w:cs="Arial"/>
          <w:b/>
          <w:color w:val="000000" w:themeColor="text1"/>
          <w:sz w:val="20"/>
        </w:rPr>
        <w:t>、</w:t>
      </w:r>
      <w:r w:rsidR="00836370" w:rsidRPr="008E2ED8">
        <w:rPr>
          <w:rFonts w:ascii="Arial" w:eastAsia="標楷體" w:hAnsi="Arial" w:cs="Arial"/>
          <w:b/>
          <w:color w:val="000000" w:themeColor="text1"/>
          <w:sz w:val="18"/>
          <w:szCs w:val="18"/>
        </w:rPr>
        <w:t>特別聲明</w:t>
      </w:r>
      <w:r w:rsidR="00836370" w:rsidRPr="008E2ED8">
        <w:rPr>
          <w:rFonts w:ascii="Arial" w:eastAsia="標楷體" w:hAnsi="Arial" w:cs="Arial"/>
          <w:b/>
          <w:color w:val="000000" w:themeColor="text1"/>
          <w:sz w:val="18"/>
          <w:szCs w:val="18"/>
        </w:rPr>
        <w:br/>
      </w:r>
      <w:r w:rsidR="00836370" w:rsidRPr="008E2ED8">
        <w:rPr>
          <w:rFonts w:ascii="Arial" w:eastAsia="標楷體" w:hAnsi="Arial" w:cs="Arial"/>
          <w:color w:val="000000" w:themeColor="text1"/>
          <w:sz w:val="18"/>
          <w:szCs w:val="18"/>
        </w:rPr>
        <w:t>本</w:t>
      </w:r>
      <w:r w:rsidR="0080085B" w:rsidRPr="008E2ED8">
        <w:rPr>
          <w:rFonts w:ascii="Arial" w:eastAsia="標楷體" w:hAnsi="Arial" w:cs="Arial"/>
          <w:color w:val="000000" w:themeColor="text1"/>
          <w:sz w:val="18"/>
          <w:szCs w:val="18"/>
        </w:rPr>
        <w:t>認購權證</w:t>
      </w:r>
      <w:r w:rsidR="00836370" w:rsidRPr="008E2ED8">
        <w:rPr>
          <w:rFonts w:ascii="Arial" w:eastAsia="標楷體" w:hAnsi="Arial" w:cs="Arial"/>
          <w:color w:val="000000" w:themeColor="text1"/>
          <w:sz w:val="18"/>
          <w:szCs w:val="18"/>
        </w:rPr>
        <w:t>購買人應事先了解</w:t>
      </w:r>
      <w:r w:rsidR="0080085B" w:rsidRPr="008E2ED8">
        <w:rPr>
          <w:rFonts w:ascii="Arial" w:eastAsia="標楷體" w:hAnsi="Arial" w:cs="Arial"/>
          <w:color w:val="000000" w:themeColor="text1"/>
          <w:sz w:val="18"/>
          <w:szCs w:val="18"/>
        </w:rPr>
        <w:t>認購權證</w:t>
      </w:r>
      <w:r w:rsidR="00836370" w:rsidRPr="008E2ED8">
        <w:rPr>
          <w:rFonts w:ascii="Arial" w:eastAsia="標楷體" w:hAnsi="Arial" w:cs="Arial"/>
          <w:color w:val="000000" w:themeColor="text1"/>
          <w:sz w:val="18"/>
          <w:szCs w:val="18"/>
        </w:rPr>
        <w:t>之相關法令及交易所與臺灣集中保管結算所之相關規定，並詳閱本發行計畫及發行人之公開說明書，購買本</w:t>
      </w:r>
      <w:r w:rsidR="0080085B" w:rsidRPr="008E2ED8">
        <w:rPr>
          <w:rFonts w:ascii="Arial" w:eastAsia="標楷體" w:hAnsi="Arial" w:cs="Arial"/>
          <w:color w:val="000000" w:themeColor="text1"/>
          <w:sz w:val="18"/>
          <w:szCs w:val="18"/>
        </w:rPr>
        <w:t>認購權證</w:t>
      </w:r>
      <w:r w:rsidR="00836370" w:rsidRPr="008E2ED8">
        <w:rPr>
          <w:rFonts w:ascii="Arial" w:eastAsia="標楷體" w:hAnsi="Arial" w:cs="Arial"/>
          <w:color w:val="000000" w:themeColor="text1"/>
          <w:sz w:val="18"/>
          <w:szCs w:val="18"/>
        </w:rPr>
        <w:t>後，即受相關規定及本發行計畫與公開說明書內容之拘束，不得以不知相關規定及發行計畫與公開說明書為由，提出任何主張。</w:t>
      </w:r>
    </w:p>
    <w:p w14:paraId="6E89A995" w14:textId="029F9068" w:rsidR="00836370" w:rsidRPr="008E2ED8" w:rsidRDefault="004A7204" w:rsidP="008E2ED8">
      <w:pPr>
        <w:snapToGrid w:val="0"/>
        <w:spacing w:line="200" w:lineRule="atLeast"/>
        <w:rPr>
          <w:rFonts w:ascii="Arial" w:eastAsia="標楷體" w:hAnsi="Arial" w:cs="Arial"/>
          <w:b/>
          <w:color w:val="000000" w:themeColor="text1"/>
          <w:sz w:val="18"/>
          <w:szCs w:val="18"/>
        </w:rPr>
      </w:pPr>
      <w:r w:rsidRPr="00A475BE">
        <w:rPr>
          <w:rFonts w:ascii="Arial" w:eastAsia="標楷體" w:hAnsi="Arial" w:cs="Arial"/>
          <w:b/>
          <w:color w:val="000000" w:themeColor="text1"/>
          <w:sz w:val="20"/>
        </w:rPr>
        <w:t>十</w:t>
      </w:r>
      <w:r w:rsidR="00597BDE">
        <w:rPr>
          <w:rFonts w:ascii="Arial" w:eastAsia="標楷體" w:hAnsi="Arial" w:cs="Arial" w:hint="eastAsia"/>
          <w:b/>
          <w:color w:val="000000" w:themeColor="text1"/>
          <w:sz w:val="20"/>
        </w:rPr>
        <w:t>九</w:t>
      </w:r>
      <w:r w:rsidR="00F02E58" w:rsidRPr="00A475BE">
        <w:rPr>
          <w:rFonts w:ascii="Arial" w:eastAsia="標楷體" w:hAnsi="Arial" w:cs="Arial"/>
          <w:b/>
          <w:color w:val="000000" w:themeColor="text1"/>
          <w:sz w:val="20"/>
        </w:rPr>
        <w:t>、</w:t>
      </w:r>
      <w:r w:rsidR="00836370" w:rsidRPr="008E2ED8">
        <w:rPr>
          <w:rFonts w:ascii="Arial" w:eastAsia="標楷體" w:hAnsi="Arial" w:cs="Arial"/>
          <w:b/>
          <w:color w:val="000000" w:themeColor="text1"/>
          <w:sz w:val="18"/>
          <w:szCs w:val="18"/>
        </w:rPr>
        <w:t>公眾人士可索閱公開說明書的處所</w:t>
      </w:r>
    </w:p>
    <w:p w14:paraId="323B9EE2" w14:textId="77777777" w:rsidR="00836370" w:rsidRPr="008E2ED8" w:rsidRDefault="00836370" w:rsidP="008E2ED8">
      <w:pPr>
        <w:pStyle w:val="a6"/>
        <w:snapToGrid w:val="0"/>
        <w:spacing w:line="200" w:lineRule="atLeast"/>
        <w:ind w:firstLineChars="342" w:firstLine="616"/>
        <w:rPr>
          <w:rFonts w:ascii="Arial" w:hAnsi="Arial" w:cs="Arial"/>
          <w:color w:val="000000" w:themeColor="text1"/>
          <w:sz w:val="18"/>
          <w:szCs w:val="18"/>
        </w:rPr>
      </w:pPr>
      <w:r w:rsidRPr="008E2ED8">
        <w:rPr>
          <w:rFonts w:ascii="Arial" w:hAnsi="Arial" w:cs="Arial"/>
          <w:color w:val="000000" w:themeColor="text1"/>
          <w:sz w:val="18"/>
          <w:szCs w:val="18"/>
        </w:rPr>
        <w:lastRenderedPageBreak/>
        <w:t>本公司</w:t>
      </w:r>
      <w:r w:rsidR="00914230" w:rsidRPr="008E2ED8">
        <w:rPr>
          <w:rFonts w:ascii="Arial" w:hAnsi="Arial" w:cs="Arial"/>
          <w:color w:val="000000" w:themeColor="text1"/>
          <w:sz w:val="18"/>
          <w:szCs w:val="18"/>
        </w:rPr>
        <w:t>金融商品部</w:t>
      </w:r>
    </w:p>
    <w:p w14:paraId="344B115B" w14:textId="77777777" w:rsidR="00BF261B" w:rsidRPr="008E2ED8" w:rsidRDefault="006E58D7" w:rsidP="008E2ED8">
      <w:pPr>
        <w:pStyle w:val="a6"/>
        <w:snapToGrid w:val="0"/>
        <w:spacing w:line="200" w:lineRule="atLeast"/>
        <w:ind w:firstLineChars="342" w:firstLine="616"/>
        <w:rPr>
          <w:rFonts w:ascii="Arial" w:hAnsi="Arial" w:cs="Arial"/>
          <w:color w:val="000000" w:themeColor="text1"/>
          <w:sz w:val="18"/>
          <w:szCs w:val="18"/>
        </w:rPr>
      </w:pPr>
      <w:r w:rsidRPr="008E2ED8">
        <w:rPr>
          <w:rFonts w:ascii="Arial" w:hAnsi="Arial" w:cs="Arial"/>
          <w:color w:val="000000" w:themeColor="text1"/>
          <w:sz w:val="18"/>
          <w:szCs w:val="18"/>
        </w:rPr>
        <w:t>及</w:t>
      </w:r>
      <w:r w:rsidR="00BF261B" w:rsidRPr="008E2ED8">
        <w:rPr>
          <w:rFonts w:ascii="Arial" w:hAnsi="Arial" w:cs="Arial"/>
          <w:color w:val="000000" w:themeColor="text1"/>
          <w:sz w:val="18"/>
          <w:szCs w:val="18"/>
        </w:rPr>
        <w:t>投資人得於公開資訊觀測站查詢公開銷售說明書電子檔</w:t>
      </w:r>
    </w:p>
    <w:p w14:paraId="3EE58DF3" w14:textId="0CF2B850" w:rsidR="00836370" w:rsidRPr="008E2ED8" w:rsidRDefault="00597BDE" w:rsidP="008E2ED8">
      <w:pPr>
        <w:snapToGrid w:val="0"/>
        <w:spacing w:line="200" w:lineRule="atLeast"/>
        <w:rPr>
          <w:rFonts w:ascii="Arial" w:eastAsia="標楷體" w:hAnsi="Arial" w:cs="Arial"/>
          <w:color w:val="000000" w:themeColor="text1"/>
          <w:sz w:val="18"/>
          <w:szCs w:val="18"/>
        </w:rPr>
      </w:pPr>
      <w:r>
        <w:rPr>
          <w:rFonts w:ascii="Arial" w:eastAsia="標楷體" w:hAnsi="Arial" w:cs="Arial" w:hint="eastAsia"/>
          <w:color w:val="000000" w:themeColor="text1"/>
          <w:sz w:val="20"/>
        </w:rPr>
        <w:t>二十</w:t>
      </w:r>
      <w:r w:rsidR="00F02E58" w:rsidRPr="00A475BE">
        <w:rPr>
          <w:rFonts w:ascii="Arial" w:eastAsia="標楷體" w:hAnsi="Arial" w:cs="Arial"/>
          <w:color w:val="000000" w:themeColor="text1"/>
          <w:sz w:val="20"/>
        </w:rPr>
        <w:t>、</w:t>
      </w:r>
      <w:r w:rsidR="00836370" w:rsidRPr="008E2ED8">
        <w:rPr>
          <w:rFonts w:ascii="Arial" w:eastAsia="標楷體" w:hAnsi="Arial" w:cs="Arial"/>
          <w:color w:val="000000" w:themeColor="text1"/>
          <w:sz w:val="18"/>
          <w:szCs w:val="18"/>
        </w:rPr>
        <w:t>刊</w:t>
      </w:r>
      <w:r w:rsidR="00836370" w:rsidRPr="008E2ED8">
        <w:rPr>
          <w:rFonts w:ascii="Arial" w:eastAsia="標楷體" w:hAnsi="Arial" w:cs="Arial"/>
          <w:b/>
          <w:color w:val="000000" w:themeColor="text1"/>
          <w:sz w:val="18"/>
          <w:szCs w:val="18"/>
        </w:rPr>
        <w:t>登上市公告日期：</w:t>
      </w:r>
      <w:r w:rsidR="0080085B" w:rsidRPr="008E2ED8">
        <w:rPr>
          <w:rFonts w:ascii="Arial" w:eastAsia="標楷體" w:hAnsi="Arial" w:cs="Arial"/>
          <w:b/>
          <w:color w:val="000000" w:themeColor="text1"/>
          <w:sz w:val="18"/>
          <w:szCs w:val="18"/>
        </w:rPr>
        <w:t>中華民國</w:t>
      </w:r>
      <w:r>
        <w:rPr>
          <w:rFonts w:ascii="Arial" w:eastAsia="標楷體" w:hAnsi="Arial" w:cs="Arial" w:hint="eastAsia"/>
          <w:b/>
          <w:color w:val="000000" w:themeColor="text1"/>
          <w:sz w:val="18"/>
          <w:szCs w:val="18"/>
        </w:rPr>
        <w:t>114年11月18日</w:t>
      </w:r>
      <w:r w:rsidR="00A36A77" w:rsidRPr="008E2ED8">
        <w:rPr>
          <w:rFonts w:ascii="Arial" w:eastAsia="標楷體" w:hAnsi="Arial" w:cs="Arial"/>
          <w:color w:val="000000" w:themeColor="text1"/>
          <w:sz w:val="18"/>
          <w:szCs w:val="18"/>
        </w:rPr>
        <w:t xml:space="preserve"> </w:t>
      </w:r>
    </w:p>
    <w:p w14:paraId="07837E78" w14:textId="3BBD7F18" w:rsidR="00836370" w:rsidRPr="008E2ED8" w:rsidRDefault="00F02E58" w:rsidP="008E2ED8">
      <w:pPr>
        <w:snapToGrid w:val="0"/>
        <w:spacing w:line="200" w:lineRule="atLeast"/>
        <w:rPr>
          <w:rFonts w:ascii="Arial" w:eastAsia="標楷體" w:hAnsi="Arial" w:cs="Arial"/>
          <w:color w:val="000000" w:themeColor="text1"/>
          <w:sz w:val="18"/>
          <w:szCs w:val="18"/>
        </w:rPr>
      </w:pPr>
      <w:r w:rsidRPr="00A475BE">
        <w:rPr>
          <w:rFonts w:ascii="Arial" w:eastAsia="標楷體" w:hAnsi="Arial" w:cs="Arial"/>
          <w:b/>
          <w:color w:val="000000" w:themeColor="text1"/>
          <w:sz w:val="20"/>
        </w:rPr>
        <w:t>二十</w:t>
      </w:r>
      <w:r w:rsidR="00597BDE">
        <w:rPr>
          <w:rFonts w:ascii="Arial" w:eastAsia="標楷體" w:hAnsi="Arial" w:cs="Arial" w:hint="eastAsia"/>
          <w:b/>
          <w:color w:val="000000" w:themeColor="text1"/>
          <w:sz w:val="20"/>
        </w:rPr>
        <w:t>一</w:t>
      </w:r>
      <w:r w:rsidRPr="00A475BE">
        <w:rPr>
          <w:rFonts w:ascii="Arial" w:eastAsia="標楷體" w:hAnsi="Arial" w:cs="Arial"/>
          <w:b/>
          <w:color w:val="000000" w:themeColor="text1"/>
          <w:sz w:val="20"/>
        </w:rPr>
        <w:t>、</w:t>
      </w:r>
      <w:r w:rsidR="00836370" w:rsidRPr="008E2ED8">
        <w:rPr>
          <w:rFonts w:ascii="Arial" w:eastAsia="標楷體" w:hAnsi="Arial" w:cs="Arial"/>
          <w:b/>
          <w:color w:val="000000" w:themeColor="text1"/>
          <w:sz w:val="18"/>
          <w:szCs w:val="18"/>
        </w:rPr>
        <w:t>認購</w:t>
      </w:r>
      <w:r w:rsidR="00836370" w:rsidRPr="008E2ED8">
        <w:rPr>
          <w:rFonts w:ascii="Arial" w:eastAsia="標楷體" w:hAnsi="Arial" w:cs="Arial"/>
          <w:b/>
          <w:color w:val="000000" w:themeColor="text1"/>
          <w:sz w:val="18"/>
          <w:szCs w:val="18"/>
        </w:rPr>
        <w:t>(</w:t>
      </w:r>
      <w:r w:rsidR="00836370" w:rsidRPr="008E2ED8">
        <w:rPr>
          <w:rFonts w:ascii="Arial" w:eastAsia="標楷體" w:hAnsi="Arial" w:cs="Arial"/>
          <w:b/>
          <w:color w:val="000000" w:themeColor="text1"/>
          <w:sz w:val="18"/>
          <w:szCs w:val="18"/>
        </w:rPr>
        <w:t>售</w:t>
      </w:r>
      <w:r w:rsidR="00836370" w:rsidRPr="008E2ED8">
        <w:rPr>
          <w:rFonts w:ascii="Arial" w:eastAsia="標楷體" w:hAnsi="Arial" w:cs="Arial"/>
          <w:b/>
          <w:color w:val="000000" w:themeColor="text1"/>
          <w:sz w:val="18"/>
          <w:szCs w:val="18"/>
        </w:rPr>
        <w:t>)</w:t>
      </w:r>
      <w:r w:rsidR="00836370" w:rsidRPr="008E2ED8">
        <w:rPr>
          <w:rFonts w:ascii="Arial" w:eastAsia="標楷體" w:hAnsi="Arial" w:cs="Arial"/>
          <w:b/>
          <w:color w:val="000000" w:themeColor="text1"/>
          <w:sz w:val="18"/>
          <w:szCs w:val="18"/>
        </w:rPr>
        <w:t>權證上市買賣日期：預定</w:t>
      </w:r>
      <w:r w:rsidR="0080085B" w:rsidRPr="008E2ED8">
        <w:rPr>
          <w:rFonts w:ascii="Arial" w:eastAsia="標楷體" w:hAnsi="Arial" w:cs="Arial"/>
          <w:b/>
          <w:color w:val="000000" w:themeColor="text1"/>
          <w:sz w:val="18"/>
          <w:szCs w:val="18"/>
        </w:rPr>
        <w:t>中華民國</w:t>
      </w:r>
      <w:r>
        <w:rPr>
          <w:rFonts w:ascii="Arial" w:eastAsia="標楷體" w:hAnsi="Arial" w:cs="Arial" w:hint="eastAsia"/>
          <w:b/>
          <w:color w:val="000000" w:themeColor="text1"/>
          <w:sz w:val="18"/>
          <w:szCs w:val="18"/>
        </w:rPr>
        <w:t>114年11月20日</w:t>
      </w:r>
    </w:p>
    <w:sectPr w:rsidR="00836370" w:rsidRPr="008E2ED8" w:rsidSect="00C52D85">
      <w:headerReference w:type="default" r:id="rId8"/>
      <w:type w:val="continuous"/>
      <w:pgSz w:w="11906" w:h="16838" w:code="9"/>
      <w:pgMar w:top="163" w:right="352" w:bottom="326" w:left="346" w:header="284" w:footer="284" w:gutter="0"/>
      <w:cols w:space="18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21BA65" w14:textId="77777777" w:rsidR="00712F34" w:rsidRDefault="00712F34">
      <w:r>
        <w:separator/>
      </w:r>
    </w:p>
  </w:endnote>
  <w:endnote w:type="continuationSeparator" w:id="0">
    <w:p w14:paraId="699AD36C" w14:textId="77777777" w:rsidR="00712F34" w:rsidRDefault="00712F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301D39" w14:textId="77777777" w:rsidR="00712F34" w:rsidRDefault="00712F34">
      <w:r>
        <w:separator/>
      </w:r>
    </w:p>
  </w:footnote>
  <w:footnote w:type="continuationSeparator" w:id="0">
    <w:p w14:paraId="541D9180" w14:textId="77777777" w:rsidR="00712F34" w:rsidRDefault="00712F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7FA10" w14:textId="77777777" w:rsidR="00186BCB" w:rsidRDefault="00186BCB">
    <w:pPr>
      <w:spacing w:line="160" w:lineRule="atLeast"/>
      <w:jc w:val="center"/>
      <w:rPr>
        <w:rFonts w:ascii="標楷體" w:eastAsia="標楷體"/>
        <w:b/>
        <w:sz w:val="20"/>
      </w:rPr>
    </w:pPr>
  </w:p>
  <w:p w14:paraId="7D511B77" w14:textId="77777777" w:rsidR="00186BCB" w:rsidRPr="008E2ED8" w:rsidRDefault="00186BCB">
    <w:pPr>
      <w:spacing w:line="160" w:lineRule="atLeast"/>
      <w:jc w:val="center"/>
      <w:rPr>
        <w:rFonts w:ascii="Arial" w:eastAsia="標楷體" w:hAnsi="Arial" w:cs="Arial"/>
        <w:b/>
        <w:color w:val="000000" w:themeColor="text1"/>
        <w:w w:val="150"/>
        <w:sz w:val="22"/>
        <w:szCs w:val="22"/>
      </w:rPr>
    </w:pPr>
    <w:r w:rsidRPr="008E2ED8">
      <w:rPr>
        <w:rFonts w:ascii="Arial" w:eastAsia="標楷體" w:hAnsi="標楷體" w:cs="Arial"/>
        <w:b/>
        <w:color w:val="000000" w:themeColor="text1"/>
        <w:w w:val="150"/>
        <w:sz w:val="22"/>
        <w:szCs w:val="22"/>
      </w:rPr>
      <w:t>國</w:t>
    </w:r>
    <w:r w:rsidRPr="008E2ED8">
      <w:rPr>
        <w:rFonts w:ascii="Arial" w:eastAsia="標楷體" w:hAnsi="Arial" w:cs="Arial"/>
        <w:b/>
        <w:color w:val="000000" w:themeColor="text1"/>
        <w:w w:val="150"/>
        <w:sz w:val="22"/>
        <w:szCs w:val="22"/>
      </w:rPr>
      <w:t xml:space="preserve">  </w:t>
    </w:r>
    <w:r w:rsidRPr="008E2ED8">
      <w:rPr>
        <w:rFonts w:ascii="Arial" w:eastAsia="標楷體" w:hAnsi="標楷體" w:cs="Arial"/>
        <w:b/>
        <w:color w:val="000000" w:themeColor="text1"/>
        <w:w w:val="150"/>
        <w:sz w:val="22"/>
        <w:szCs w:val="22"/>
      </w:rPr>
      <w:t>泰　綜　合　證　券　股　份　有　限　公　司</w:t>
    </w:r>
  </w:p>
  <w:p w14:paraId="2B97AB7A" w14:textId="77777777" w:rsidR="00186BCB" w:rsidRPr="008E2ED8" w:rsidRDefault="008F5FCF" w:rsidP="008C16AC">
    <w:pPr>
      <w:spacing w:afterLines="50" w:after="120" w:line="160" w:lineRule="atLeast"/>
      <w:jc w:val="center"/>
      <w:rPr>
        <w:rFonts w:ascii="Arial" w:eastAsia="標楷體" w:hAnsi="Arial" w:cs="Arial"/>
        <w:b/>
        <w:color w:val="000000" w:themeColor="text1"/>
        <w:w w:val="150"/>
        <w:sz w:val="22"/>
        <w:szCs w:val="22"/>
      </w:rPr>
    </w:pPr>
    <w:r>
      <w:rPr>
        <w:rFonts w:ascii="標楷體" w:eastAsia="標楷體" w:hAnsi="標楷體" w:cs="Arial"/>
        <w:b/>
        <w:color w:val="000000" w:themeColor="text1"/>
        <w:w w:val="150"/>
        <w:sz w:val="22"/>
        <w:szCs w:val="22"/>
      </w:rPr>
      <w:t>亞翔工程股份有限公司普通股</w:t>
    </w:r>
    <w:r w:rsidR="0080085B" w:rsidRPr="008E2ED8">
      <w:rPr>
        <w:rFonts w:ascii="Arial" w:eastAsia="標楷體" w:hAnsi="標楷體" w:cs="Arial" w:hint="eastAsia"/>
        <w:b/>
        <w:color w:val="000000" w:themeColor="text1"/>
        <w:w w:val="150"/>
        <w:sz w:val="22"/>
        <w:szCs w:val="22"/>
      </w:rPr>
      <w:t>認購權證</w:t>
    </w:r>
    <w:r w:rsidR="00186BCB" w:rsidRPr="008E2ED8">
      <w:rPr>
        <w:rFonts w:ascii="Arial" w:eastAsia="標楷體" w:hAnsi="標楷體" w:cs="Arial"/>
        <w:b/>
        <w:color w:val="000000" w:themeColor="text1"/>
        <w:w w:val="150"/>
        <w:sz w:val="22"/>
        <w:szCs w:val="22"/>
      </w:rPr>
      <w:t>上市公告</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A61D0"/>
    <w:multiLevelType w:val="hybridMultilevel"/>
    <w:tmpl w:val="1BE8D76A"/>
    <w:lvl w:ilvl="0" w:tplc="B25C124C">
      <w:start w:val="1"/>
      <w:numFmt w:val="decimal"/>
      <w:lvlText w:val="%1."/>
      <w:lvlJc w:val="left"/>
      <w:pPr>
        <w:tabs>
          <w:tab w:val="num" w:pos="1650"/>
        </w:tabs>
        <w:ind w:left="1650" w:hanging="210"/>
      </w:pPr>
      <w:rPr>
        <w:rFonts w:hint="default"/>
      </w:rPr>
    </w:lvl>
    <w:lvl w:ilvl="1" w:tplc="BF06D2D2">
      <w:start w:val="1"/>
      <w:numFmt w:val="lowerLetter"/>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3C663E9"/>
    <w:multiLevelType w:val="hybridMultilevel"/>
    <w:tmpl w:val="2BC6A248"/>
    <w:lvl w:ilvl="0" w:tplc="E258E01A">
      <w:start w:val="1"/>
      <w:numFmt w:val="bullet"/>
      <w:lvlText w:val=""/>
      <w:lvlJc w:val="left"/>
      <w:pPr>
        <w:tabs>
          <w:tab w:val="num" w:pos="2160"/>
        </w:tabs>
        <w:ind w:left="2155" w:hanging="355"/>
      </w:pPr>
      <w:rPr>
        <w:rFonts w:ascii="Wingdings" w:hAnsi="Wingdings" w:hint="default"/>
      </w:rPr>
    </w:lvl>
    <w:lvl w:ilvl="1" w:tplc="229AC2AE">
      <w:start w:val="1"/>
      <w:numFmt w:val="decimal"/>
      <w:lvlText w:val="%2."/>
      <w:lvlJc w:val="left"/>
      <w:pPr>
        <w:tabs>
          <w:tab w:val="num" w:pos="2640"/>
        </w:tabs>
        <w:ind w:left="2640" w:hanging="360"/>
      </w:pPr>
      <w:rPr>
        <w:rFonts w:cs="Times New Roman" w:hint="eastAsia"/>
      </w:rPr>
    </w:lvl>
    <w:lvl w:ilvl="2" w:tplc="0409001B" w:tentative="1">
      <w:start w:val="1"/>
      <w:numFmt w:val="lowerRoman"/>
      <w:lvlText w:val="%3."/>
      <w:lvlJc w:val="right"/>
      <w:pPr>
        <w:tabs>
          <w:tab w:val="num" w:pos="3240"/>
        </w:tabs>
        <w:ind w:left="3240" w:hanging="480"/>
      </w:pPr>
      <w:rPr>
        <w:rFonts w:cs="Times New Roman"/>
      </w:rPr>
    </w:lvl>
    <w:lvl w:ilvl="3" w:tplc="0409000F" w:tentative="1">
      <w:start w:val="1"/>
      <w:numFmt w:val="decimal"/>
      <w:lvlText w:val="%4."/>
      <w:lvlJc w:val="left"/>
      <w:pPr>
        <w:tabs>
          <w:tab w:val="num" w:pos="3720"/>
        </w:tabs>
        <w:ind w:left="3720" w:hanging="480"/>
      </w:pPr>
      <w:rPr>
        <w:rFonts w:cs="Times New Roman"/>
      </w:rPr>
    </w:lvl>
    <w:lvl w:ilvl="4" w:tplc="04090019" w:tentative="1">
      <w:start w:val="1"/>
      <w:numFmt w:val="ideographTraditional"/>
      <w:lvlText w:val="%5、"/>
      <w:lvlJc w:val="left"/>
      <w:pPr>
        <w:tabs>
          <w:tab w:val="num" w:pos="4200"/>
        </w:tabs>
        <w:ind w:left="4200" w:hanging="480"/>
      </w:pPr>
      <w:rPr>
        <w:rFonts w:cs="Times New Roman"/>
      </w:rPr>
    </w:lvl>
    <w:lvl w:ilvl="5" w:tplc="0409001B" w:tentative="1">
      <w:start w:val="1"/>
      <w:numFmt w:val="lowerRoman"/>
      <w:lvlText w:val="%6."/>
      <w:lvlJc w:val="right"/>
      <w:pPr>
        <w:tabs>
          <w:tab w:val="num" w:pos="4680"/>
        </w:tabs>
        <w:ind w:left="4680" w:hanging="480"/>
      </w:pPr>
      <w:rPr>
        <w:rFonts w:cs="Times New Roman"/>
      </w:rPr>
    </w:lvl>
    <w:lvl w:ilvl="6" w:tplc="0409000F" w:tentative="1">
      <w:start w:val="1"/>
      <w:numFmt w:val="decimal"/>
      <w:lvlText w:val="%7."/>
      <w:lvlJc w:val="left"/>
      <w:pPr>
        <w:tabs>
          <w:tab w:val="num" w:pos="5160"/>
        </w:tabs>
        <w:ind w:left="5160" w:hanging="480"/>
      </w:pPr>
      <w:rPr>
        <w:rFonts w:cs="Times New Roman"/>
      </w:rPr>
    </w:lvl>
    <w:lvl w:ilvl="7" w:tplc="04090019" w:tentative="1">
      <w:start w:val="1"/>
      <w:numFmt w:val="ideographTraditional"/>
      <w:lvlText w:val="%8、"/>
      <w:lvlJc w:val="left"/>
      <w:pPr>
        <w:tabs>
          <w:tab w:val="num" w:pos="5640"/>
        </w:tabs>
        <w:ind w:left="5640" w:hanging="480"/>
      </w:pPr>
      <w:rPr>
        <w:rFonts w:cs="Times New Roman"/>
      </w:rPr>
    </w:lvl>
    <w:lvl w:ilvl="8" w:tplc="0409001B" w:tentative="1">
      <w:start w:val="1"/>
      <w:numFmt w:val="lowerRoman"/>
      <w:lvlText w:val="%9."/>
      <w:lvlJc w:val="right"/>
      <w:pPr>
        <w:tabs>
          <w:tab w:val="num" w:pos="6120"/>
        </w:tabs>
        <w:ind w:left="6120" w:hanging="480"/>
      </w:pPr>
      <w:rPr>
        <w:rFonts w:cs="Times New Roman"/>
      </w:rPr>
    </w:lvl>
  </w:abstractNum>
  <w:abstractNum w:abstractNumId="2" w15:restartNumberingAfterBreak="0">
    <w:nsid w:val="0965078A"/>
    <w:multiLevelType w:val="singleLevel"/>
    <w:tmpl w:val="B25C124C"/>
    <w:lvl w:ilvl="0">
      <w:start w:val="1"/>
      <w:numFmt w:val="decimal"/>
      <w:lvlText w:val="%1."/>
      <w:lvlJc w:val="left"/>
      <w:pPr>
        <w:tabs>
          <w:tab w:val="num" w:pos="1650"/>
        </w:tabs>
        <w:ind w:left="1650" w:hanging="210"/>
      </w:pPr>
      <w:rPr>
        <w:rFonts w:hint="default"/>
      </w:rPr>
    </w:lvl>
  </w:abstractNum>
  <w:abstractNum w:abstractNumId="3" w15:restartNumberingAfterBreak="0">
    <w:nsid w:val="0DFD491A"/>
    <w:multiLevelType w:val="hybridMultilevel"/>
    <w:tmpl w:val="6AAA944E"/>
    <w:lvl w:ilvl="0" w:tplc="8C76318A">
      <w:start w:val="1"/>
      <w:numFmt w:val="taiwaneseCountingThousand"/>
      <w:lvlText w:val="(%1)"/>
      <w:lvlJc w:val="left"/>
      <w:pPr>
        <w:tabs>
          <w:tab w:val="num" w:pos="540"/>
        </w:tabs>
        <w:ind w:left="540" w:hanging="360"/>
      </w:pPr>
      <w:rPr>
        <w:rFonts w:hint="default"/>
      </w:rPr>
    </w:lvl>
    <w:lvl w:ilvl="1" w:tplc="ECE6EC9A">
      <w:start w:val="1"/>
      <w:numFmt w:val="taiwaneseCountingThousand"/>
      <w:lvlText w:val="(%2)"/>
      <w:lvlJc w:val="left"/>
      <w:pPr>
        <w:tabs>
          <w:tab w:val="num" w:pos="1020"/>
        </w:tabs>
        <w:ind w:left="1020" w:hanging="360"/>
      </w:pPr>
      <w:rPr>
        <w:rFonts w:hint="default"/>
      </w:rPr>
    </w:lvl>
    <w:lvl w:ilvl="2" w:tplc="0409001B" w:tentative="1">
      <w:start w:val="1"/>
      <w:numFmt w:val="lowerRoman"/>
      <w:lvlText w:val="%3."/>
      <w:lvlJc w:val="right"/>
      <w:pPr>
        <w:tabs>
          <w:tab w:val="num" w:pos="1620"/>
        </w:tabs>
        <w:ind w:left="1620" w:hanging="480"/>
      </w:pPr>
    </w:lvl>
    <w:lvl w:ilvl="3" w:tplc="0409000F" w:tentative="1">
      <w:start w:val="1"/>
      <w:numFmt w:val="decimal"/>
      <w:lvlText w:val="%4."/>
      <w:lvlJc w:val="left"/>
      <w:pPr>
        <w:tabs>
          <w:tab w:val="num" w:pos="2100"/>
        </w:tabs>
        <w:ind w:left="2100" w:hanging="480"/>
      </w:p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abstractNum w:abstractNumId="4" w15:restartNumberingAfterBreak="0">
    <w:nsid w:val="1DD4766B"/>
    <w:multiLevelType w:val="hybridMultilevel"/>
    <w:tmpl w:val="44C82584"/>
    <w:lvl w:ilvl="0" w:tplc="937699BA">
      <w:start w:val="1"/>
      <w:numFmt w:val="ideographLegalTraditional"/>
      <w:lvlText w:val="%1、"/>
      <w:lvlJc w:val="left"/>
      <w:pPr>
        <w:tabs>
          <w:tab w:val="num" w:pos="720"/>
        </w:tabs>
        <w:ind w:left="720" w:hanging="720"/>
      </w:pPr>
      <w:rPr>
        <w:rFonts w:hint="eastAsia"/>
      </w:rPr>
    </w:lvl>
    <w:lvl w:ilvl="1" w:tplc="C86EA38C">
      <w:start w:val="1"/>
      <w:numFmt w:val="taiwaneseCountingThousand"/>
      <w:lvlText w:val="（%2）"/>
      <w:lvlJc w:val="left"/>
      <w:pPr>
        <w:tabs>
          <w:tab w:val="num" w:pos="1200"/>
        </w:tabs>
        <w:ind w:left="1200" w:hanging="720"/>
      </w:pPr>
      <w:rPr>
        <w:rFonts w:hint="eastAsia"/>
      </w:rPr>
    </w:lvl>
    <w:lvl w:ilvl="2" w:tplc="0409001B">
      <w:start w:val="1"/>
      <w:numFmt w:val="lowerRoman"/>
      <w:lvlText w:val="%3."/>
      <w:lvlJc w:val="right"/>
      <w:pPr>
        <w:tabs>
          <w:tab w:val="num" w:pos="1440"/>
        </w:tabs>
        <w:ind w:left="1440" w:hanging="480"/>
      </w:pPr>
    </w:lvl>
    <w:lvl w:ilvl="3" w:tplc="E0A2416A">
      <w:start w:val="1"/>
      <w:numFmt w:val="decimal"/>
      <w:lvlText w:val="%4."/>
      <w:lvlJc w:val="left"/>
      <w:pPr>
        <w:tabs>
          <w:tab w:val="num" w:pos="1800"/>
        </w:tabs>
        <w:ind w:left="1800" w:hanging="360"/>
      </w:pPr>
      <w:rPr>
        <w:rFonts w:hint="eastAsia"/>
      </w:rPr>
    </w:lvl>
    <w:lvl w:ilvl="4" w:tplc="C5B653DC">
      <w:start w:val="1"/>
      <w:numFmt w:val="taiwaneseCountingThousand"/>
      <w:lvlText w:val="(%5)"/>
      <w:lvlJc w:val="left"/>
      <w:pPr>
        <w:tabs>
          <w:tab w:val="num" w:pos="2340"/>
        </w:tabs>
        <w:ind w:left="2340" w:hanging="420"/>
      </w:pPr>
      <w:rPr>
        <w:rFonts w:hint="eastAsia"/>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FCF06C7"/>
    <w:multiLevelType w:val="hybridMultilevel"/>
    <w:tmpl w:val="527E3330"/>
    <w:lvl w:ilvl="0" w:tplc="3BA6B94E">
      <w:start w:val="1"/>
      <w:numFmt w:val="decimal"/>
      <w:lvlText w:val="(%1)"/>
      <w:lvlJc w:val="left"/>
      <w:pPr>
        <w:tabs>
          <w:tab w:val="num" w:pos="1995"/>
        </w:tabs>
        <w:ind w:left="1995" w:hanging="31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2280490B"/>
    <w:multiLevelType w:val="hybridMultilevel"/>
    <w:tmpl w:val="C5284076"/>
    <w:lvl w:ilvl="0" w:tplc="B25C124C">
      <w:start w:val="1"/>
      <w:numFmt w:val="decimal"/>
      <w:lvlText w:val="%1."/>
      <w:lvlJc w:val="left"/>
      <w:pPr>
        <w:tabs>
          <w:tab w:val="num" w:pos="1650"/>
        </w:tabs>
        <w:ind w:left="1650" w:hanging="2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26037413"/>
    <w:multiLevelType w:val="singleLevel"/>
    <w:tmpl w:val="E30AA2A0"/>
    <w:lvl w:ilvl="0">
      <w:start w:val="1"/>
      <w:numFmt w:val="taiwaneseCountingThousand"/>
      <w:lvlText w:val="(%1)"/>
      <w:lvlJc w:val="left"/>
      <w:pPr>
        <w:tabs>
          <w:tab w:val="num" w:pos="1640"/>
        </w:tabs>
        <w:ind w:left="1640" w:hanging="720"/>
      </w:pPr>
      <w:rPr>
        <w:rFonts w:ascii="標楷體" w:eastAsia="標楷體" w:hAnsi="標楷體" w:hint="eastAsia"/>
        <w:color w:val="auto"/>
        <w:sz w:val="14"/>
        <w:szCs w:val="14"/>
      </w:rPr>
    </w:lvl>
  </w:abstractNum>
  <w:abstractNum w:abstractNumId="8" w15:restartNumberingAfterBreak="0">
    <w:nsid w:val="2E1642BA"/>
    <w:multiLevelType w:val="hybridMultilevel"/>
    <w:tmpl w:val="41BC5D56"/>
    <w:lvl w:ilvl="0" w:tplc="ECE6EC9A">
      <w:start w:val="1"/>
      <w:numFmt w:val="taiwaneseCountingThousand"/>
      <w:lvlText w:val="(%1)"/>
      <w:lvlJc w:val="left"/>
      <w:pPr>
        <w:tabs>
          <w:tab w:val="num" w:pos="541"/>
        </w:tabs>
        <w:ind w:left="541" w:hanging="360"/>
      </w:pPr>
      <w:rPr>
        <w:rFonts w:hint="default"/>
      </w:rPr>
    </w:lvl>
    <w:lvl w:ilvl="1" w:tplc="333876E4">
      <w:start w:val="1"/>
      <w:numFmt w:val="decimal"/>
      <w:lvlText w:val="(%2)"/>
      <w:lvlJc w:val="left"/>
      <w:pPr>
        <w:tabs>
          <w:tab w:val="num" w:pos="1021"/>
        </w:tabs>
        <w:ind w:left="1021" w:hanging="360"/>
      </w:pPr>
      <w:rPr>
        <w:rFonts w:hint="default"/>
      </w:rPr>
    </w:lvl>
    <w:lvl w:ilvl="2" w:tplc="0409001B" w:tentative="1">
      <w:start w:val="1"/>
      <w:numFmt w:val="lowerRoman"/>
      <w:lvlText w:val="%3."/>
      <w:lvlJc w:val="right"/>
      <w:pPr>
        <w:tabs>
          <w:tab w:val="num" w:pos="1621"/>
        </w:tabs>
        <w:ind w:left="1621" w:hanging="480"/>
      </w:pPr>
    </w:lvl>
    <w:lvl w:ilvl="3" w:tplc="0409000F" w:tentative="1">
      <w:start w:val="1"/>
      <w:numFmt w:val="decimal"/>
      <w:lvlText w:val="%4."/>
      <w:lvlJc w:val="left"/>
      <w:pPr>
        <w:tabs>
          <w:tab w:val="num" w:pos="2101"/>
        </w:tabs>
        <w:ind w:left="2101" w:hanging="480"/>
      </w:pPr>
    </w:lvl>
    <w:lvl w:ilvl="4" w:tplc="04090019" w:tentative="1">
      <w:start w:val="1"/>
      <w:numFmt w:val="ideographTraditional"/>
      <w:lvlText w:val="%5、"/>
      <w:lvlJc w:val="left"/>
      <w:pPr>
        <w:tabs>
          <w:tab w:val="num" w:pos="2581"/>
        </w:tabs>
        <w:ind w:left="2581" w:hanging="480"/>
      </w:pPr>
    </w:lvl>
    <w:lvl w:ilvl="5" w:tplc="0409001B" w:tentative="1">
      <w:start w:val="1"/>
      <w:numFmt w:val="lowerRoman"/>
      <w:lvlText w:val="%6."/>
      <w:lvlJc w:val="right"/>
      <w:pPr>
        <w:tabs>
          <w:tab w:val="num" w:pos="3061"/>
        </w:tabs>
        <w:ind w:left="3061" w:hanging="480"/>
      </w:pPr>
    </w:lvl>
    <w:lvl w:ilvl="6" w:tplc="0409000F" w:tentative="1">
      <w:start w:val="1"/>
      <w:numFmt w:val="decimal"/>
      <w:lvlText w:val="%7."/>
      <w:lvlJc w:val="left"/>
      <w:pPr>
        <w:tabs>
          <w:tab w:val="num" w:pos="3541"/>
        </w:tabs>
        <w:ind w:left="3541" w:hanging="480"/>
      </w:pPr>
    </w:lvl>
    <w:lvl w:ilvl="7" w:tplc="04090019" w:tentative="1">
      <w:start w:val="1"/>
      <w:numFmt w:val="ideographTraditional"/>
      <w:lvlText w:val="%8、"/>
      <w:lvlJc w:val="left"/>
      <w:pPr>
        <w:tabs>
          <w:tab w:val="num" w:pos="4021"/>
        </w:tabs>
        <w:ind w:left="4021" w:hanging="480"/>
      </w:pPr>
    </w:lvl>
    <w:lvl w:ilvl="8" w:tplc="0409001B" w:tentative="1">
      <w:start w:val="1"/>
      <w:numFmt w:val="lowerRoman"/>
      <w:lvlText w:val="%9."/>
      <w:lvlJc w:val="right"/>
      <w:pPr>
        <w:tabs>
          <w:tab w:val="num" w:pos="4501"/>
        </w:tabs>
        <w:ind w:left="4501" w:hanging="480"/>
      </w:pPr>
    </w:lvl>
  </w:abstractNum>
  <w:abstractNum w:abstractNumId="9" w15:restartNumberingAfterBreak="0">
    <w:nsid w:val="2F2017A3"/>
    <w:multiLevelType w:val="hybridMultilevel"/>
    <w:tmpl w:val="E28EDF32"/>
    <w:lvl w:ilvl="0" w:tplc="B25C124C">
      <w:start w:val="1"/>
      <w:numFmt w:val="decimal"/>
      <w:lvlText w:val="%1."/>
      <w:lvlJc w:val="left"/>
      <w:pPr>
        <w:tabs>
          <w:tab w:val="num" w:pos="1650"/>
        </w:tabs>
        <w:ind w:left="1650" w:hanging="2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302369A6"/>
    <w:multiLevelType w:val="hybridMultilevel"/>
    <w:tmpl w:val="C4B27270"/>
    <w:lvl w:ilvl="0" w:tplc="F51CBDA4">
      <w:start w:val="1"/>
      <w:numFmt w:val="taiwaneseCountingThousand"/>
      <w:lvlText w:val="(%1)"/>
      <w:lvlJc w:val="left"/>
      <w:pPr>
        <w:tabs>
          <w:tab w:val="num" w:pos="0"/>
        </w:tabs>
        <w:ind w:left="234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3A410071"/>
    <w:multiLevelType w:val="singleLevel"/>
    <w:tmpl w:val="3BA6B94E"/>
    <w:lvl w:ilvl="0">
      <w:start w:val="1"/>
      <w:numFmt w:val="decimal"/>
      <w:lvlText w:val="(%1)"/>
      <w:lvlJc w:val="left"/>
      <w:pPr>
        <w:tabs>
          <w:tab w:val="num" w:pos="1995"/>
        </w:tabs>
        <w:ind w:left="1995" w:hanging="315"/>
      </w:pPr>
      <w:rPr>
        <w:rFonts w:hint="default"/>
      </w:rPr>
    </w:lvl>
  </w:abstractNum>
  <w:abstractNum w:abstractNumId="12" w15:restartNumberingAfterBreak="0">
    <w:nsid w:val="3FF441EC"/>
    <w:multiLevelType w:val="hybridMultilevel"/>
    <w:tmpl w:val="7424F5A6"/>
    <w:lvl w:ilvl="0" w:tplc="68784852">
      <w:start w:val="1"/>
      <w:numFmt w:val="decimal"/>
      <w:lvlText w:val="(%1)"/>
      <w:lvlJc w:val="left"/>
      <w:pPr>
        <w:tabs>
          <w:tab w:val="num" w:pos="1381"/>
        </w:tabs>
        <w:ind w:left="1313" w:hanging="292"/>
      </w:pPr>
      <w:rPr>
        <w:rFonts w:cs="Times New Roman" w:hint="default"/>
        <w:color w:val="00000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3" w15:restartNumberingAfterBreak="0">
    <w:nsid w:val="45201D93"/>
    <w:multiLevelType w:val="hybridMultilevel"/>
    <w:tmpl w:val="9DC6442E"/>
    <w:lvl w:ilvl="0" w:tplc="ED0CAC3C">
      <w:start w:val="1"/>
      <w:numFmt w:val="decimal"/>
      <w:lvlText w:val="%1."/>
      <w:lvlJc w:val="left"/>
      <w:pPr>
        <w:tabs>
          <w:tab w:val="num" w:pos="1381"/>
        </w:tabs>
        <w:ind w:left="1381" w:hanging="360"/>
      </w:pPr>
      <w:rPr>
        <w:rFonts w:cs="Times New Roman" w:hint="default"/>
      </w:rPr>
    </w:lvl>
    <w:lvl w:ilvl="1" w:tplc="04090019" w:tentative="1">
      <w:start w:val="1"/>
      <w:numFmt w:val="ideographTraditional"/>
      <w:lvlText w:val="%2、"/>
      <w:lvlJc w:val="left"/>
      <w:pPr>
        <w:tabs>
          <w:tab w:val="num" w:pos="1169"/>
        </w:tabs>
        <w:ind w:left="1169" w:hanging="480"/>
      </w:pPr>
      <w:rPr>
        <w:rFonts w:cs="Times New Roman"/>
      </w:rPr>
    </w:lvl>
    <w:lvl w:ilvl="2" w:tplc="0409001B" w:tentative="1">
      <w:start w:val="1"/>
      <w:numFmt w:val="lowerRoman"/>
      <w:lvlText w:val="%3."/>
      <w:lvlJc w:val="right"/>
      <w:pPr>
        <w:tabs>
          <w:tab w:val="num" w:pos="1649"/>
        </w:tabs>
        <w:ind w:left="1649" w:hanging="480"/>
      </w:pPr>
      <w:rPr>
        <w:rFonts w:cs="Times New Roman"/>
      </w:rPr>
    </w:lvl>
    <w:lvl w:ilvl="3" w:tplc="0409000F" w:tentative="1">
      <w:start w:val="1"/>
      <w:numFmt w:val="decimal"/>
      <w:lvlText w:val="%4."/>
      <w:lvlJc w:val="left"/>
      <w:pPr>
        <w:tabs>
          <w:tab w:val="num" w:pos="2129"/>
        </w:tabs>
        <w:ind w:left="2129" w:hanging="480"/>
      </w:pPr>
      <w:rPr>
        <w:rFonts w:cs="Times New Roman"/>
      </w:rPr>
    </w:lvl>
    <w:lvl w:ilvl="4" w:tplc="04090019" w:tentative="1">
      <w:start w:val="1"/>
      <w:numFmt w:val="ideographTraditional"/>
      <w:lvlText w:val="%5、"/>
      <w:lvlJc w:val="left"/>
      <w:pPr>
        <w:tabs>
          <w:tab w:val="num" w:pos="2609"/>
        </w:tabs>
        <w:ind w:left="2609" w:hanging="480"/>
      </w:pPr>
      <w:rPr>
        <w:rFonts w:cs="Times New Roman"/>
      </w:rPr>
    </w:lvl>
    <w:lvl w:ilvl="5" w:tplc="0409001B" w:tentative="1">
      <w:start w:val="1"/>
      <w:numFmt w:val="lowerRoman"/>
      <w:lvlText w:val="%6."/>
      <w:lvlJc w:val="right"/>
      <w:pPr>
        <w:tabs>
          <w:tab w:val="num" w:pos="3089"/>
        </w:tabs>
        <w:ind w:left="3089" w:hanging="480"/>
      </w:pPr>
      <w:rPr>
        <w:rFonts w:cs="Times New Roman"/>
      </w:rPr>
    </w:lvl>
    <w:lvl w:ilvl="6" w:tplc="0409000F" w:tentative="1">
      <w:start w:val="1"/>
      <w:numFmt w:val="decimal"/>
      <w:lvlText w:val="%7."/>
      <w:lvlJc w:val="left"/>
      <w:pPr>
        <w:tabs>
          <w:tab w:val="num" w:pos="3569"/>
        </w:tabs>
        <w:ind w:left="3569" w:hanging="480"/>
      </w:pPr>
      <w:rPr>
        <w:rFonts w:cs="Times New Roman"/>
      </w:rPr>
    </w:lvl>
    <w:lvl w:ilvl="7" w:tplc="04090019" w:tentative="1">
      <w:start w:val="1"/>
      <w:numFmt w:val="ideographTraditional"/>
      <w:lvlText w:val="%8、"/>
      <w:lvlJc w:val="left"/>
      <w:pPr>
        <w:tabs>
          <w:tab w:val="num" w:pos="4049"/>
        </w:tabs>
        <w:ind w:left="4049" w:hanging="480"/>
      </w:pPr>
      <w:rPr>
        <w:rFonts w:cs="Times New Roman"/>
      </w:rPr>
    </w:lvl>
    <w:lvl w:ilvl="8" w:tplc="0409001B" w:tentative="1">
      <w:start w:val="1"/>
      <w:numFmt w:val="lowerRoman"/>
      <w:lvlText w:val="%9."/>
      <w:lvlJc w:val="right"/>
      <w:pPr>
        <w:tabs>
          <w:tab w:val="num" w:pos="4529"/>
        </w:tabs>
        <w:ind w:left="4529" w:hanging="480"/>
      </w:pPr>
      <w:rPr>
        <w:rFonts w:cs="Times New Roman"/>
      </w:rPr>
    </w:lvl>
  </w:abstractNum>
  <w:abstractNum w:abstractNumId="14" w15:restartNumberingAfterBreak="0">
    <w:nsid w:val="54C008F9"/>
    <w:multiLevelType w:val="hybridMultilevel"/>
    <w:tmpl w:val="DC66B3AC"/>
    <w:lvl w:ilvl="0" w:tplc="B25C124C">
      <w:start w:val="1"/>
      <w:numFmt w:val="decimal"/>
      <w:lvlText w:val="%1."/>
      <w:lvlJc w:val="left"/>
      <w:pPr>
        <w:tabs>
          <w:tab w:val="num" w:pos="1650"/>
        </w:tabs>
        <w:ind w:left="1650" w:hanging="2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63E627AB"/>
    <w:multiLevelType w:val="hybridMultilevel"/>
    <w:tmpl w:val="2A0A1EE2"/>
    <w:lvl w:ilvl="0" w:tplc="22DA8A5E">
      <w:start w:val="1"/>
      <w:numFmt w:val="taiwaneseCountingThousand"/>
      <w:lvlText w:val="(%1)"/>
      <w:lvlJc w:val="left"/>
      <w:pPr>
        <w:tabs>
          <w:tab w:val="num" w:pos="1440"/>
        </w:tabs>
        <w:ind w:left="1440" w:hanging="480"/>
      </w:pPr>
      <w:rPr>
        <w:rFonts w:hint="eastAsia"/>
      </w:rPr>
    </w:lvl>
    <w:lvl w:ilvl="1" w:tplc="27E26EF8">
      <w:start w:val="1"/>
      <w:numFmt w:val="decimal"/>
      <w:lvlText w:val="%2."/>
      <w:lvlJc w:val="left"/>
      <w:pPr>
        <w:tabs>
          <w:tab w:val="num" w:pos="-480"/>
        </w:tabs>
        <w:ind w:left="660" w:hanging="180"/>
      </w:pPr>
      <w:rPr>
        <w:rFonts w:ascii="Arial" w:eastAsia="標楷體" w:hAnsi="Arial" w:cs="Arial" w:hint="default"/>
        <w:b w:val="0"/>
        <w:i w:val="0"/>
        <w:color w:val="000000"/>
        <w:sz w:val="14"/>
        <w:szCs w:val="14"/>
        <w:u w:val="none"/>
      </w:rPr>
    </w:lvl>
    <w:lvl w:ilvl="2" w:tplc="5F56F052">
      <w:start w:val="1"/>
      <w:numFmt w:val="decimal"/>
      <w:lvlText w:val="（%3）"/>
      <w:lvlJc w:val="left"/>
      <w:pPr>
        <w:tabs>
          <w:tab w:val="num" w:pos="1320"/>
        </w:tabs>
        <w:ind w:left="1320" w:hanging="360"/>
      </w:pPr>
      <w:rPr>
        <w:rFonts w:hAnsi="標楷體"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7230728E"/>
    <w:multiLevelType w:val="hybridMultilevel"/>
    <w:tmpl w:val="6552732C"/>
    <w:lvl w:ilvl="0" w:tplc="CCCC5874">
      <w:start w:val="1"/>
      <w:numFmt w:val="taiwaneseCountingThousand"/>
      <w:lvlText w:val="%1、"/>
      <w:lvlJc w:val="left"/>
      <w:pPr>
        <w:tabs>
          <w:tab w:val="num" w:pos="482"/>
        </w:tabs>
        <w:ind w:left="482" w:hanging="482"/>
      </w:pPr>
      <w:rPr>
        <w:rFonts w:ascii="標楷體" w:eastAsia="標楷體" w:hint="eastAsia"/>
        <w:b w:val="0"/>
        <w:i w:val="0"/>
        <w:color w:val="000000"/>
        <w:sz w:val="20"/>
        <w:szCs w:val="20"/>
        <w:lang w:val="en-US"/>
      </w:rPr>
    </w:lvl>
    <w:lvl w:ilvl="1" w:tplc="0409000F">
      <w:start w:val="1"/>
      <w:numFmt w:val="decimal"/>
      <w:lvlText w:val="%2."/>
      <w:lvlJc w:val="left"/>
      <w:pPr>
        <w:tabs>
          <w:tab w:val="num" w:pos="960"/>
        </w:tabs>
        <w:ind w:left="960" w:hanging="480"/>
      </w:pPr>
      <w:rPr>
        <w:rFonts w:hint="eastAsia"/>
        <w:b w:val="0"/>
        <w:i w:val="0"/>
        <w:color w:val="000000"/>
        <w:sz w:val="14"/>
        <w:szCs w:val="14"/>
        <w:lang w:val="en-US"/>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7C424CB2"/>
    <w:multiLevelType w:val="hybridMultilevel"/>
    <w:tmpl w:val="30360E2C"/>
    <w:lvl w:ilvl="0" w:tplc="B25C124C">
      <w:start w:val="1"/>
      <w:numFmt w:val="decimal"/>
      <w:lvlText w:val="%1."/>
      <w:lvlJc w:val="left"/>
      <w:pPr>
        <w:tabs>
          <w:tab w:val="num" w:pos="1650"/>
        </w:tabs>
        <w:ind w:left="1650" w:hanging="2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16cid:durableId="780799378">
    <w:abstractNumId w:val="11"/>
  </w:num>
  <w:num w:numId="2" w16cid:durableId="1643578883">
    <w:abstractNumId w:val="7"/>
  </w:num>
  <w:num w:numId="3" w16cid:durableId="646015541">
    <w:abstractNumId w:val="16"/>
  </w:num>
  <w:num w:numId="4" w16cid:durableId="16586255">
    <w:abstractNumId w:val="4"/>
  </w:num>
  <w:num w:numId="5" w16cid:durableId="768890817">
    <w:abstractNumId w:val="8"/>
  </w:num>
  <w:num w:numId="6" w16cid:durableId="916205578">
    <w:abstractNumId w:val="3"/>
  </w:num>
  <w:num w:numId="7" w16cid:durableId="1911772917">
    <w:abstractNumId w:val="15"/>
  </w:num>
  <w:num w:numId="8" w16cid:durableId="2123721244">
    <w:abstractNumId w:val="6"/>
  </w:num>
  <w:num w:numId="9" w16cid:durableId="1939023552">
    <w:abstractNumId w:val="17"/>
  </w:num>
  <w:num w:numId="10" w16cid:durableId="1288665376">
    <w:abstractNumId w:val="9"/>
  </w:num>
  <w:num w:numId="11" w16cid:durableId="100340576">
    <w:abstractNumId w:val="14"/>
  </w:num>
  <w:num w:numId="12" w16cid:durableId="859006427">
    <w:abstractNumId w:val="10"/>
  </w:num>
  <w:num w:numId="13" w16cid:durableId="1473055256">
    <w:abstractNumId w:val="0"/>
  </w:num>
  <w:num w:numId="14" w16cid:durableId="793837945">
    <w:abstractNumId w:val="5"/>
  </w:num>
  <w:num w:numId="15" w16cid:durableId="2973180">
    <w:abstractNumId w:val="2"/>
  </w:num>
  <w:num w:numId="16" w16cid:durableId="597442811">
    <w:abstractNumId w:val="13"/>
  </w:num>
  <w:num w:numId="17" w16cid:durableId="972826107">
    <w:abstractNumId w:val="1"/>
  </w:num>
  <w:num w:numId="18" w16cid:durableId="6141796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HorizontalSpacing w:val="120"/>
  <w:drawingGridVerticalSpacing w:val="163"/>
  <w:displayHorizontalDrawingGridEvery w:val="0"/>
  <w:displayVerticalDrawingGridEvery w:val="2"/>
  <w:characterSpacingControl w:val="compressPunctuation"/>
  <w:noLineBreaksAfter w:lang="zh-TW" w:val="([{‘“‵〈《「『【〔〝︵︷︹︻︽︿﹁﹃﹙﹛﹝（｛"/>
  <w:noLineBreaksBefore w:lang="zh-TW" w:va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62D"/>
    <w:rsid w:val="000041CA"/>
    <w:rsid w:val="00007DDC"/>
    <w:rsid w:val="00011752"/>
    <w:rsid w:val="00013B83"/>
    <w:rsid w:val="00017238"/>
    <w:rsid w:val="00030B01"/>
    <w:rsid w:val="0003442A"/>
    <w:rsid w:val="00034F3F"/>
    <w:rsid w:val="000470BA"/>
    <w:rsid w:val="000508EC"/>
    <w:rsid w:val="000549E0"/>
    <w:rsid w:val="00056429"/>
    <w:rsid w:val="0006752B"/>
    <w:rsid w:val="00070494"/>
    <w:rsid w:val="00074829"/>
    <w:rsid w:val="00084CA8"/>
    <w:rsid w:val="00086060"/>
    <w:rsid w:val="00086316"/>
    <w:rsid w:val="00087BF1"/>
    <w:rsid w:val="00087E84"/>
    <w:rsid w:val="00090F0F"/>
    <w:rsid w:val="0009258A"/>
    <w:rsid w:val="000968BA"/>
    <w:rsid w:val="00097465"/>
    <w:rsid w:val="000A1992"/>
    <w:rsid w:val="000A426E"/>
    <w:rsid w:val="000A4847"/>
    <w:rsid w:val="000B259C"/>
    <w:rsid w:val="000B393C"/>
    <w:rsid w:val="000C4482"/>
    <w:rsid w:val="000C556A"/>
    <w:rsid w:val="000D0F64"/>
    <w:rsid w:val="000E1947"/>
    <w:rsid w:val="000E5626"/>
    <w:rsid w:val="000E7FE7"/>
    <w:rsid w:val="000F03F0"/>
    <w:rsid w:val="000F238E"/>
    <w:rsid w:val="000F5F06"/>
    <w:rsid w:val="00102671"/>
    <w:rsid w:val="0010356A"/>
    <w:rsid w:val="00107DDC"/>
    <w:rsid w:val="0011294E"/>
    <w:rsid w:val="00122DD3"/>
    <w:rsid w:val="00125D04"/>
    <w:rsid w:val="00126DF6"/>
    <w:rsid w:val="00130B20"/>
    <w:rsid w:val="0013322A"/>
    <w:rsid w:val="00133ABA"/>
    <w:rsid w:val="001346C9"/>
    <w:rsid w:val="00135490"/>
    <w:rsid w:val="0013640F"/>
    <w:rsid w:val="0014155D"/>
    <w:rsid w:val="00144A46"/>
    <w:rsid w:val="001533E5"/>
    <w:rsid w:val="00153965"/>
    <w:rsid w:val="00153E45"/>
    <w:rsid w:val="0015741B"/>
    <w:rsid w:val="00161C7D"/>
    <w:rsid w:val="0016540D"/>
    <w:rsid w:val="001664A7"/>
    <w:rsid w:val="00166A0E"/>
    <w:rsid w:val="00172FC0"/>
    <w:rsid w:val="00173E05"/>
    <w:rsid w:val="00176F06"/>
    <w:rsid w:val="001777D5"/>
    <w:rsid w:val="0017780A"/>
    <w:rsid w:val="0018021A"/>
    <w:rsid w:val="00186977"/>
    <w:rsid w:val="00186BCB"/>
    <w:rsid w:val="0019458B"/>
    <w:rsid w:val="001A0A61"/>
    <w:rsid w:val="001A11D9"/>
    <w:rsid w:val="001A2FC0"/>
    <w:rsid w:val="001A3407"/>
    <w:rsid w:val="001A5B78"/>
    <w:rsid w:val="001B004D"/>
    <w:rsid w:val="001B07FB"/>
    <w:rsid w:val="001B5FFE"/>
    <w:rsid w:val="001C0DDE"/>
    <w:rsid w:val="001D300C"/>
    <w:rsid w:val="001D3265"/>
    <w:rsid w:val="001D4FE5"/>
    <w:rsid w:val="001E1DAE"/>
    <w:rsid w:val="001E22CF"/>
    <w:rsid w:val="001E35CB"/>
    <w:rsid w:val="001E47BF"/>
    <w:rsid w:val="001E73C9"/>
    <w:rsid w:val="001F7495"/>
    <w:rsid w:val="00200452"/>
    <w:rsid w:val="00201D8A"/>
    <w:rsid w:val="0021457D"/>
    <w:rsid w:val="00223B63"/>
    <w:rsid w:val="00224894"/>
    <w:rsid w:val="002274EC"/>
    <w:rsid w:val="002330BB"/>
    <w:rsid w:val="00243709"/>
    <w:rsid w:val="00245FEB"/>
    <w:rsid w:val="00251687"/>
    <w:rsid w:val="00253B3F"/>
    <w:rsid w:val="00255195"/>
    <w:rsid w:val="00260FEE"/>
    <w:rsid w:val="00261B38"/>
    <w:rsid w:val="00264998"/>
    <w:rsid w:val="00265126"/>
    <w:rsid w:val="00265D58"/>
    <w:rsid w:val="002673F9"/>
    <w:rsid w:val="00270118"/>
    <w:rsid w:val="00270A8D"/>
    <w:rsid w:val="002724A2"/>
    <w:rsid w:val="00272ABE"/>
    <w:rsid w:val="00272DE6"/>
    <w:rsid w:val="002736E0"/>
    <w:rsid w:val="00273E04"/>
    <w:rsid w:val="002750A2"/>
    <w:rsid w:val="00276307"/>
    <w:rsid w:val="0028574D"/>
    <w:rsid w:val="00290E99"/>
    <w:rsid w:val="00294E9A"/>
    <w:rsid w:val="0029581C"/>
    <w:rsid w:val="002960C5"/>
    <w:rsid w:val="00296620"/>
    <w:rsid w:val="002A0978"/>
    <w:rsid w:val="002A2469"/>
    <w:rsid w:val="002A29F9"/>
    <w:rsid w:val="002A31DD"/>
    <w:rsid w:val="002A3CF0"/>
    <w:rsid w:val="002A48BA"/>
    <w:rsid w:val="002B4ABB"/>
    <w:rsid w:val="002B7BEE"/>
    <w:rsid w:val="002C1386"/>
    <w:rsid w:val="002C16FB"/>
    <w:rsid w:val="002C27F5"/>
    <w:rsid w:val="002C594B"/>
    <w:rsid w:val="002C77C8"/>
    <w:rsid w:val="002D44F8"/>
    <w:rsid w:val="002D6636"/>
    <w:rsid w:val="002D6E9F"/>
    <w:rsid w:val="002D7A7A"/>
    <w:rsid w:val="002E0EDB"/>
    <w:rsid w:val="002E3AB0"/>
    <w:rsid w:val="002E5699"/>
    <w:rsid w:val="002F0510"/>
    <w:rsid w:val="002F05E0"/>
    <w:rsid w:val="002F2308"/>
    <w:rsid w:val="002F60CC"/>
    <w:rsid w:val="00312B42"/>
    <w:rsid w:val="003156C7"/>
    <w:rsid w:val="003177A6"/>
    <w:rsid w:val="003200EF"/>
    <w:rsid w:val="0032057F"/>
    <w:rsid w:val="00320CCA"/>
    <w:rsid w:val="00320F62"/>
    <w:rsid w:val="00321690"/>
    <w:rsid w:val="00323985"/>
    <w:rsid w:val="00327A4F"/>
    <w:rsid w:val="00333D1F"/>
    <w:rsid w:val="0033451D"/>
    <w:rsid w:val="003354C7"/>
    <w:rsid w:val="0034091F"/>
    <w:rsid w:val="003410B2"/>
    <w:rsid w:val="003456FE"/>
    <w:rsid w:val="00345CAD"/>
    <w:rsid w:val="003508FE"/>
    <w:rsid w:val="0035390C"/>
    <w:rsid w:val="00354742"/>
    <w:rsid w:val="00362B3B"/>
    <w:rsid w:val="0036371C"/>
    <w:rsid w:val="00367BF7"/>
    <w:rsid w:val="003706B6"/>
    <w:rsid w:val="00375B80"/>
    <w:rsid w:val="00375E39"/>
    <w:rsid w:val="003773B1"/>
    <w:rsid w:val="00384DAC"/>
    <w:rsid w:val="003937FF"/>
    <w:rsid w:val="00393F72"/>
    <w:rsid w:val="00396CEF"/>
    <w:rsid w:val="00397BCA"/>
    <w:rsid w:val="003A33FE"/>
    <w:rsid w:val="003A4509"/>
    <w:rsid w:val="003A4B96"/>
    <w:rsid w:val="003B0442"/>
    <w:rsid w:val="003B063A"/>
    <w:rsid w:val="003B11A7"/>
    <w:rsid w:val="003B3D3D"/>
    <w:rsid w:val="003C0E8B"/>
    <w:rsid w:val="003C0F98"/>
    <w:rsid w:val="003C101E"/>
    <w:rsid w:val="003D0667"/>
    <w:rsid w:val="003D1F56"/>
    <w:rsid w:val="003D218A"/>
    <w:rsid w:val="003E318B"/>
    <w:rsid w:val="003E6D91"/>
    <w:rsid w:val="003E71D4"/>
    <w:rsid w:val="003E782A"/>
    <w:rsid w:val="003F2A5D"/>
    <w:rsid w:val="003F3715"/>
    <w:rsid w:val="003F44C7"/>
    <w:rsid w:val="00400992"/>
    <w:rsid w:val="00400FF3"/>
    <w:rsid w:val="00401D2F"/>
    <w:rsid w:val="004076BD"/>
    <w:rsid w:val="004121B1"/>
    <w:rsid w:val="0042258E"/>
    <w:rsid w:val="0042496E"/>
    <w:rsid w:val="004305AF"/>
    <w:rsid w:val="0043589F"/>
    <w:rsid w:val="00437444"/>
    <w:rsid w:val="004414F5"/>
    <w:rsid w:val="0044392F"/>
    <w:rsid w:val="0044437A"/>
    <w:rsid w:val="00446D71"/>
    <w:rsid w:val="0045140D"/>
    <w:rsid w:val="0046222D"/>
    <w:rsid w:val="00462A6E"/>
    <w:rsid w:val="00462EB3"/>
    <w:rsid w:val="00463B6B"/>
    <w:rsid w:val="004670C8"/>
    <w:rsid w:val="00467554"/>
    <w:rsid w:val="004701B2"/>
    <w:rsid w:val="0047064B"/>
    <w:rsid w:val="00471C4A"/>
    <w:rsid w:val="0047350F"/>
    <w:rsid w:val="00475401"/>
    <w:rsid w:val="004772D8"/>
    <w:rsid w:val="0048052D"/>
    <w:rsid w:val="00480782"/>
    <w:rsid w:val="00481537"/>
    <w:rsid w:val="00481AB2"/>
    <w:rsid w:val="00483BDF"/>
    <w:rsid w:val="004840F8"/>
    <w:rsid w:val="00486E7C"/>
    <w:rsid w:val="00490D47"/>
    <w:rsid w:val="00495F59"/>
    <w:rsid w:val="00496276"/>
    <w:rsid w:val="00497108"/>
    <w:rsid w:val="004A086C"/>
    <w:rsid w:val="004A0C41"/>
    <w:rsid w:val="004A2347"/>
    <w:rsid w:val="004A4582"/>
    <w:rsid w:val="004A486A"/>
    <w:rsid w:val="004A4AB7"/>
    <w:rsid w:val="004A52CB"/>
    <w:rsid w:val="004A7204"/>
    <w:rsid w:val="004A7D83"/>
    <w:rsid w:val="004B1608"/>
    <w:rsid w:val="004B2E25"/>
    <w:rsid w:val="004B318E"/>
    <w:rsid w:val="004B3B94"/>
    <w:rsid w:val="004B4521"/>
    <w:rsid w:val="004B5476"/>
    <w:rsid w:val="004C1EAE"/>
    <w:rsid w:val="004C2F50"/>
    <w:rsid w:val="004C34D2"/>
    <w:rsid w:val="004C458D"/>
    <w:rsid w:val="004C461D"/>
    <w:rsid w:val="004C5103"/>
    <w:rsid w:val="004C5DAE"/>
    <w:rsid w:val="004C7035"/>
    <w:rsid w:val="004C78E1"/>
    <w:rsid w:val="004D087A"/>
    <w:rsid w:val="004D1A29"/>
    <w:rsid w:val="004D4A54"/>
    <w:rsid w:val="004E0125"/>
    <w:rsid w:val="004E3CBF"/>
    <w:rsid w:val="004E535D"/>
    <w:rsid w:val="004E66F9"/>
    <w:rsid w:val="004E7743"/>
    <w:rsid w:val="004F0534"/>
    <w:rsid w:val="004F2140"/>
    <w:rsid w:val="004F6574"/>
    <w:rsid w:val="004F74EB"/>
    <w:rsid w:val="004F7D78"/>
    <w:rsid w:val="00501467"/>
    <w:rsid w:val="0050262A"/>
    <w:rsid w:val="00504F1E"/>
    <w:rsid w:val="00506943"/>
    <w:rsid w:val="00507AD4"/>
    <w:rsid w:val="00507ECC"/>
    <w:rsid w:val="00511348"/>
    <w:rsid w:val="005139DF"/>
    <w:rsid w:val="005150E8"/>
    <w:rsid w:val="0052714A"/>
    <w:rsid w:val="005407C2"/>
    <w:rsid w:val="00541EB7"/>
    <w:rsid w:val="00544200"/>
    <w:rsid w:val="00544E0F"/>
    <w:rsid w:val="00545C78"/>
    <w:rsid w:val="00547224"/>
    <w:rsid w:val="0054734E"/>
    <w:rsid w:val="005502CD"/>
    <w:rsid w:val="0055295B"/>
    <w:rsid w:val="0055321A"/>
    <w:rsid w:val="005550C7"/>
    <w:rsid w:val="0055608E"/>
    <w:rsid w:val="00557AE0"/>
    <w:rsid w:val="00560075"/>
    <w:rsid w:val="00560312"/>
    <w:rsid w:val="00565B20"/>
    <w:rsid w:val="00570575"/>
    <w:rsid w:val="00570EF9"/>
    <w:rsid w:val="00572393"/>
    <w:rsid w:val="005810E5"/>
    <w:rsid w:val="00582F66"/>
    <w:rsid w:val="005840FB"/>
    <w:rsid w:val="00590582"/>
    <w:rsid w:val="00592F9C"/>
    <w:rsid w:val="005956DE"/>
    <w:rsid w:val="00596F06"/>
    <w:rsid w:val="00597943"/>
    <w:rsid w:val="00597BDE"/>
    <w:rsid w:val="005B26DA"/>
    <w:rsid w:val="005B270B"/>
    <w:rsid w:val="005B2BDE"/>
    <w:rsid w:val="005B38D2"/>
    <w:rsid w:val="005B40BB"/>
    <w:rsid w:val="005B6FAF"/>
    <w:rsid w:val="005B763B"/>
    <w:rsid w:val="005C4D19"/>
    <w:rsid w:val="005C53EA"/>
    <w:rsid w:val="005D730E"/>
    <w:rsid w:val="005E4988"/>
    <w:rsid w:val="005E700B"/>
    <w:rsid w:val="005F6F59"/>
    <w:rsid w:val="00600030"/>
    <w:rsid w:val="0060035C"/>
    <w:rsid w:val="006004FE"/>
    <w:rsid w:val="00604498"/>
    <w:rsid w:val="00606371"/>
    <w:rsid w:val="00606407"/>
    <w:rsid w:val="00607F5A"/>
    <w:rsid w:val="00615642"/>
    <w:rsid w:val="006248DD"/>
    <w:rsid w:val="00625719"/>
    <w:rsid w:val="006259D5"/>
    <w:rsid w:val="00627B44"/>
    <w:rsid w:val="006310A0"/>
    <w:rsid w:val="00631EEA"/>
    <w:rsid w:val="006329B1"/>
    <w:rsid w:val="00634CE4"/>
    <w:rsid w:val="00634FD5"/>
    <w:rsid w:val="006360A9"/>
    <w:rsid w:val="00636D1B"/>
    <w:rsid w:val="00640E82"/>
    <w:rsid w:val="00642E5E"/>
    <w:rsid w:val="006515D1"/>
    <w:rsid w:val="006546F1"/>
    <w:rsid w:val="00654E5A"/>
    <w:rsid w:val="006566DB"/>
    <w:rsid w:val="00660F7F"/>
    <w:rsid w:val="00661377"/>
    <w:rsid w:val="00663ECC"/>
    <w:rsid w:val="00665620"/>
    <w:rsid w:val="00665CAF"/>
    <w:rsid w:val="006666F2"/>
    <w:rsid w:val="00670B69"/>
    <w:rsid w:val="00673C32"/>
    <w:rsid w:val="0067445F"/>
    <w:rsid w:val="00675C8E"/>
    <w:rsid w:val="00676BBC"/>
    <w:rsid w:val="0067789F"/>
    <w:rsid w:val="006819CE"/>
    <w:rsid w:val="006867EC"/>
    <w:rsid w:val="0069321C"/>
    <w:rsid w:val="00694434"/>
    <w:rsid w:val="006957E3"/>
    <w:rsid w:val="006A149A"/>
    <w:rsid w:val="006A178E"/>
    <w:rsid w:val="006A4487"/>
    <w:rsid w:val="006B18C7"/>
    <w:rsid w:val="006B7918"/>
    <w:rsid w:val="006C20A3"/>
    <w:rsid w:val="006C5586"/>
    <w:rsid w:val="006D12AA"/>
    <w:rsid w:val="006D2602"/>
    <w:rsid w:val="006D503D"/>
    <w:rsid w:val="006E0A80"/>
    <w:rsid w:val="006E58D7"/>
    <w:rsid w:val="006E5BDC"/>
    <w:rsid w:val="006E65EE"/>
    <w:rsid w:val="006F1BDB"/>
    <w:rsid w:val="006F44A6"/>
    <w:rsid w:val="006F64F2"/>
    <w:rsid w:val="006F7227"/>
    <w:rsid w:val="00700F74"/>
    <w:rsid w:val="00701B94"/>
    <w:rsid w:val="00712549"/>
    <w:rsid w:val="00712F34"/>
    <w:rsid w:val="007133F6"/>
    <w:rsid w:val="00713635"/>
    <w:rsid w:val="00713692"/>
    <w:rsid w:val="0072127B"/>
    <w:rsid w:val="00722147"/>
    <w:rsid w:val="00722F5E"/>
    <w:rsid w:val="00723091"/>
    <w:rsid w:val="007262C3"/>
    <w:rsid w:val="007272E5"/>
    <w:rsid w:val="007278B1"/>
    <w:rsid w:val="00727923"/>
    <w:rsid w:val="00730AB5"/>
    <w:rsid w:val="00730FBD"/>
    <w:rsid w:val="007313B1"/>
    <w:rsid w:val="007316A9"/>
    <w:rsid w:val="007328E5"/>
    <w:rsid w:val="00733F34"/>
    <w:rsid w:val="00740AD5"/>
    <w:rsid w:val="00740B11"/>
    <w:rsid w:val="007438CF"/>
    <w:rsid w:val="00745866"/>
    <w:rsid w:val="00747AA7"/>
    <w:rsid w:val="00750617"/>
    <w:rsid w:val="0075145B"/>
    <w:rsid w:val="007528F2"/>
    <w:rsid w:val="00761870"/>
    <w:rsid w:val="00762B7B"/>
    <w:rsid w:val="00763098"/>
    <w:rsid w:val="00776398"/>
    <w:rsid w:val="00776B45"/>
    <w:rsid w:val="00781A83"/>
    <w:rsid w:val="007B06A3"/>
    <w:rsid w:val="007B21CD"/>
    <w:rsid w:val="007C0C59"/>
    <w:rsid w:val="007C668F"/>
    <w:rsid w:val="007D0425"/>
    <w:rsid w:val="007D0A29"/>
    <w:rsid w:val="007D6646"/>
    <w:rsid w:val="007D6C35"/>
    <w:rsid w:val="007E1F0A"/>
    <w:rsid w:val="007E391F"/>
    <w:rsid w:val="007E5B9A"/>
    <w:rsid w:val="007F2AE3"/>
    <w:rsid w:val="007F2CC1"/>
    <w:rsid w:val="007F4368"/>
    <w:rsid w:val="007F4E09"/>
    <w:rsid w:val="007F59AE"/>
    <w:rsid w:val="007F73C7"/>
    <w:rsid w:val="0080085B"/>
    <w:rsid w:val="008056C8"/>
    <w:rsid w:val="008105D9"/>
    <w:rsid w:val="00811643"/>
    <w:rsid w:val="00812D41"/>
    <w:rsid w:val="008140A3"/>
    <w:rsid w:val="00821671"/>
    <w:rsid w:val="00821EFB"/>
    <w:rsid w:val="0082404B"/>
    <w:rsid w:val="00826D16"/>
    <w:rsid w:val="00826D95"/>
    <w:rsid w:val="00827616"/>
    <w:rsid w:val="008279B8"/>
    <w:rsid w:val="00834EA1"/>
    <w:rsid w:val="00835372"/>
    <w:rsid w:val="00836370"/>
    <w:rsid w:val="0084393A"/>
    <w:rsid w:val="0084396A"/>
    <w:rsid w:val="008449D0"/>
    <w:rsid w:val="00847774"/>
    <w:rsid w:val="00850A22"/>
    <w:rsid w:val="00851BCF"/>
    <w:rsid w:val="00854AFC"/>
    <w:rsid w:val="00860EE4"/>
    <w:rsid w:val="008630B8"/>
    <w:rsid w:val="00872580"/>
    <w:rsid w:val="00875D3C"/>
    <w:rsid w:val="008767B1"/>
    <w:rsid w:val="00880563"/>
    <w:rsid w:val="00880E87"/>
    <w:rsid w:val="00885F65"/>
    <w:rsid w:val="008939C5"/>
    <w:rsid w:val="008A1F49"/>
    <w:rsid w:val="008A31B7"/>
    <w:rsid w:val="008A3555"/>
    <w:rsid w:val="008A35DD"/>
    <w:rsid w:val="008A6D3B"/>
    <w:rsid w:val="008B03AB"/>
    <w:rsid w:val="008B03FF"/>
    <w:rsid w:val="008B049F"/>
    <w:rsid w:val="008B2358"/>
    <w:rsid w:val="008B509F"/>
    <w:rsid w:val="008B5444"/>
    <w:rsid w:val="008B6173"/>
    <w:rsid w:val="008C12F2"/>
    <w:rsid w:val="008C16AC"/>
    <w:rsid w:val="008C17CC"/>
    <w:rsid w:val="008C4706"/>
    <w:rsid w:val="008C4770"/>
    <w:rsid w:val="008C4B8E"/>
    <w:rsid w:val="008C5445"/>
    <w:rsid w:val="008C74A9"/>
    <w:rsid w:val="008D062B"/>
    <w:rsid w:val="008D1872"/>
    <w:rsid w:val="008D234E"/>
    <w:rsid w:val="008D76C0"/>
    <w:rsid w:val="008E0EB2"/>
    <w:rsid w:val="008E2C3A"/>
    <w:rsid w:val="008E2ED8"/>
    <w:rsid w:val="008E5E48"/>
    <w:rsid w:val="008F413F"/>
    <w:rsid w:val="008F4659"/>
    <w:rsid w:val="008F5FCF"/>
    <w:rsid w:val="008F6501"/>
    <w:rsid w:val="0090036B"/>
    <w:rsid w:val="009027A5"/>
    <w:rsid w:val="00903E15"/>
    <w:rsid w:val="0090552E"/>
    <w:rsid w:val="00907D16"/>
    <w:rsid w:val="00914230"/>
    <w:rsid w:val="0091621B"/>
    <w:rsid w:val="009177D8"/>
    <w:rsid w:val="0092217A"/>
    <w:rsid w:val="00925DA9"/>
    <w:rsid w:val="00926ABF"/>
    <w:rsid w:val="009271CB"/>
    <w:rsid w:val="009301CB"/>
    <w:rsid w:val="00930C0D"/>
    <w:rsid w:val="00935D31"/>
    <w:rsid w:val="00936E9E"/>
    <w:rsid w:val="00944B72"/>
    <w:rsid w:val="009453A8"/>
    <w:rsid w:val="0094583A"/>
    <w:rsid w:val="009463A4"/>
    <w:rsid w:val="00946ACA"/>
    <w:rsid w:val="0094763B"/>
    <w:rsid w:val="00955ED1"/>
    <w:rsid w:val="00957374"/>
    <w:rsid w:val="00960C82"/>
    <w:rsid w:val="009631D2"/>
    <w:rsid w:val="00964097"/>
    <w:rsid w:val="0096600D"/>
    <w:rsid w:val="00970214"/>
    <w:rsid w:val="00971B0A"/>
    <w:rsid w:val="00971B18"/>
    <w:rsid w:val="0097519E"/>
    <w:rsid w:val="00975592"/>
    <w:rsid w:val="00975B7E"/>
    <w:rsid w:val="00983236"/>
    <w:rsid w:val="00984511"/>
    <w:rsid w:val="00984FE5"/>
    <w:rsid w:val="00991994"/>
    <w:rsid w:val="00993B72"/>
    <w:rsid w:val="009940DF"/>
    <w:rsid w:val="00994A9E"/>
    <w:rsid w:val="00995E83"/>
    <w:rsid w:val="00997265"/>
    <w:rsid w:val="009A2E9B"/>
    <w:rsid w:val="009A5509"/>
    <w:rsid w:val="009A7BF5"/>
    <w:rsid w:val="009B1692"/>
    <w:rsid w:val="009B5CD0"/>
    <w:rsid w:val="009B60F1"/>
    <w:rsid w:val="009C04A7"/>
    <w:rsid w:val="009C1FA8"/>
    <w:rsid w:val="009C2304"/>
    <w:rsid w:val="009C2ED8"/>
    <w:rsid w:val="009C3252"/>
    <w:rsid w:val="009C3D04"/>
    <w:rsid w:val="009C5088"/>
    <w:rsid w:val="009C67C6"/>
    <w:rsid w:val="009C761C"/>
    <w:rsid w:val="009C764B"/>
    <w:rsid w:val="009D1076"/>
    <w:rsid w:val="009E0AE9"/>
    <w:rsid w:val="009E22AF"/>
    <w:rsid w:val="009E32DE"/>
    <w:rsid w:val="009E6B28"/>
    <w:rsid w:val="009F45AB"/>
    <w:rsid w:val="009F5C2C"/>
    <w:rsid w:val="00A01BEE"/>
    <w:rsid w:val="00A04D9C"/>
    <w:rsid w:val="00A123F6"/>
    <w:rsid w:val="00A20D4E"/>
    <w:rsid w:val="00A25E81"/>
    <w:rsid w:val="00A3367C"/>
    <w:rsid w:val="00A349DC"/>
    <w:rsid w:val="00A35B04"/>
    <w:rsid w:val="00A36A77"/>
    <w:rsid w:val="00A41D33"/>
    <w:rsid w:val="00A424CC"/>
    <w:rsid w:val="00A45B0A"/>
    <w:rsid w:val="00A475BE"/>
    <w:rsid w:val="00A530F8"/>
    <w:rsid w:val="00A543FF"/>
    <w:rsid w:val="00A563E0"/>
    <w:rsid w:val="00A63369"/>
    <w:rsid w:val="00A63418"/>
    <w:rsid w:val="00A63C04"/>
    <w:rsid w:val="00A707FD"/>
    <w:rsid w:val="00A70EB6"/>
    <w:rsid w:val="00A750BC"/>
    <w:rsid w:val="00A757AB"/>
    <w:rsid w:val="00A75DE2"/>
    <w:rsid w:val="00A76C23"/>
    <w:rsid w:val="00A81FB7"/>
    <w:rsid w:val="00A83550"/>
    <w:rsid w:val="00A86FA2"/>
    <w:rsid w:val="00A93328"/>
    <w:rsid w:val="00A95324"/>
    <w:rsid w:val="00A96A2D"/>
    <w:rsid w:val="00A97A33"/>
    <w:rsid w:val="00AA0036"/>
    <w:rsid w:val="00AA0085"/>
    <w:rsid w:val="00AA1C6C"/>
    <w:rsid w:val="00AA382E"/>
    <w:rsid w:val="00AA4461"/>
    <w:rsid w:val="00AA6867"/>
    <w:rsid w:val="00AA6A7E"/>
    <w:rsid w:val="00AB0E22"/>
    <w:rsid w:val="00AB1B51"/>
    <w:rsid w:val="00AB426E"/>
    <w:rsid w:val="00AC0509"/>
    <w:rsid w:val="00AC3778"/>
    <w:rsid w:val="00AC7E99"/>
    <w:rsid w:val="00AD7571"/>
    <w:rsid w:val="00AE005A"/>
    <w:rsid w:val="00AE1529"/>
    <w:rsid w:val="00AE2282"/>
    <w:rsid w:val="00AE4468"/>
    <w:rsid w:val="00AE79C0"/>
    <w:rsid w:val="00B07957"/>
    <w:rsid w:val="00B20C3D"/>
    <w:rsid w:val="00B2130E"/>
    <w:rsid w:val="00B318F0"/>
    <w:rsid w:val="00B31BDA"/>
    <w:rsid w:val="00B35B2E"/>
    <w:rsid w:val="00B41D7F"/>
    <w:rsid w:val="00B423F2"/>
    <w:rsid w:val="00B44364"/>
    <w:rsid w:val="00B50E40"/>
    <w:rsid w:val="00B510BD"/>
    <w:rsid w:val="00B51412"/>
    <w:rsid w:val="00B5315A"/>
    <w:rsid w:val="00B535A7"/>
    <w:rsid w:val="00B57C27"/>
    <w:rsid w:val="00B64022"/>
    <w:rsid w:val="00B75477"/>
    <w:rsid w:val="00B7549C"/>
    <w:rsid w:val="00B77529"/>
    <w:rsid w:val="00B81685"/>
    <w:rsid w:val="00B8248C"/>
    <w:rsid w:val="00B87891"/>
    <w:rsid w:val="00B90618"/>
    <w:rsid w:val="00B91516"/>
    <w:rsid w:val="00B93439"/>
    <w:rsid w:val="00B976EB"/>
    <w:rsid w:val="00B97F9E"/>
    <w:rsid w:val="00BA0981"/>
    <w:rsid w:val="00BA3D35"/>
    <w:rsid w:val="00BA745D"/>
    <w:rsid w:val="00BB166B"/>
    <w:rsid w:val="00BB26AE"/>
    <w:rsid w:val="00BB7FB1"/>
    <w:rsid w:val="00BC0C5B"/>
    <w:rsid w:val="00BC1100"/>
    <w:rsid w:val="00BC3199"/>
    <w:rsid w:val="00BC4246"/>
    <w:rsid w:val="00BC4834"/>
    <w:rsid w:val="00BC70D8"/>
    <w:rsid w:val="00BD1886"/>
    <w:rsid w:val="00BF0509"/>
    <w:rsid w:val="00BF261B"/>
    <w:rsid w:val="00C005BA"/>
    <w:rsid w:val="00C009DC"/>
    <w:rsid w:val="00C01F9A"/>
    <w:rsid w:val="00C020F7"/>
    <w:rsid w:val="00C0242E"/>
    <w:rsid w:val="00C0534C"/>
    <w:rsid w:val="00C057D3"/>
    <w:rsid w:val="00C15892"/>
    <w:rsid w:val="00C2162D"/>
    <w:rsid w:val="00C24AD2"/>
    <w:rsid w:val="00C24F07"/>
    <w:rsid w:val="00C277B5"/>
    <w:rsid w:val="00C323AF"/>
    <w:rsid w:val="00C32CB9"/>
    <w:rsid w:val="00C33DAD"/>
    <w:rsid w:val="00C37C45"/>
    <w:rsid w:val="00C41A0F"/>
    <w:rsid w:val="00C44D94"/>
    <w:rsid w:val="00C4615B"/>
    <w:rsid w:val="00C47C19"/>
    <w:rsid w:val="00C52955"/>
    <w:rsid w:val="00C52D85"/>
    <w:rsid w:val="00C52F70"/>
    <w:rsid w:val="00C530CA"/>
    <w:rsid w:val="00C650EC"/>
    <w:rsid w:val="00C6671F"/>
    <w:rsid w:val="00C70DBC"/>
    <w:rsid w:val="00C70EA7"/>
    <w:rsid w:val="00C7211F"/>
    <w:rsid w:val="00C7379F"/>
    <w:rsid w:val="00C74325"/>
    <w:rsid w:val="00C75B5F"/>
    <w:rsid w:val="00C764EC"/>
    <w:rsid w:val="00C76550"/>
    <w:rsid w:val="00C80A92"/>
    <w:rsid w:val="00C81740"/>
    <w:rsid w:val="00C82675"/>
    <w:rsid w:val="00C867B6"/>
    <w:rsid w:val="00C87767"/>
    <w:rsid w:val="00C87771"/>
    <w:rsid w:val="00C926C4"/>
    <w:rsid w:val="00C94022"/>
    <w:rsid w:val="00C96BD2"/>
    <w:rsid w:val="00CA0BA0"/>
    <w:rsid w:val="00CA75CE"/>
    <w:rsid w:val="00CB004C"/>
    <w:rsid w:val="00CB03EE"/>
    <w:rsid w:val="00CB2D03"/>
    <w:rsid w:val="00CB5C8B"/>
    <w:rsid w:val="00CB6194"/>
    <w:rsid w:val="00CB68D5"/>
    <w:rsid w:val="00CB779C"/>
    <w:rsid w:val="00CC15D0"/>
    <w:rsid w:val="00CC22DC"/>
    <w:rsid w:val="00CC23D9"/>
    <w:rsid w:val="00CC30F2"/>
    <w:rsid w:val="00CC4CDE"/>
    <w:rsid w:val="00CC4FCC"/>
    <w:rsid w:val="00CC54F5"/>
    <w:rsid w:val="00CD01B9"/>
    <w:rsid w:val="00CD048B"/>
    <w:rsid w:val="00CD4CF6"/>
    <w:rsid w:val="00CD539C"/>
    <w:rsid w:val="00CE0A97"/>
    <w:rsid w:val="00CE0EB6"/>
    <w:rsid w:val="00CE28F2"/>
    <w:rsid w:val="00CE6DCF"/>
    <w:rsid w:val="00CF41BF"/>
    <w:rsid w:val="00CF6402"/>
    <w:rsid w:val="00D027D3"/>
    <w:rsid w:val="00D02E2B"/>
    <w:rsid w:val="00D048A6"/>
    <w:rsid w:val="00D04B81"/>
    <w:rsid w:val="00D07424"/>
    <w:rsid w:val="00D1187E"/>
    <w:rsid w:val="00D12D51"/>
    <w:rsid w:val="00D17558"/>
    <w:rsid w:val="00D211F7"/>
    <w:rsid w:val="00D21AC5"/>
    <w:rsid w:val="00D232AC"/>
    <w:rsid w:val="00D24906"/>
    <w:rsid w:val="00D269B0"/>
    <w:rsid w:val="00D3064B"/>
    <w:rsid w:val="00D32F59"/>
    <w:rsid w:val="00D34AA6"/>
    <w:rsid w:val="00D3546A"/>
    <w:rsid w:val="00D3725D"/>
    <w:rsid w:val="00D403C2"/>
    <w:rsid w:val="00D44617"/>
    <w:rsid w:val="00D457D7"/>
    <w:rsid w:val="00D463DB"/>
    <w:rsid w:val="00D47420"/>
    <w:rsid w:val="00D53208"/>
    <w:rsid w:val="00D534A9"/>
    <w:rsid w:val="00D558A0"/>
    <w:rsid w:val="00D6156E"/>
    <w:rsid w:val="00D61E4B"/>
    <w:rsid w:val="00D64605"/>
    <w:rsid w:val="00D659DE"/>
    <w:rsid w:val="00D70860"/>
    <w:rsid w:val="00D70D85"/>
    <w:rsid w:val="00D731E0"/>
    <w:rsid w:val="00D73E89"/>
    <w:rsid w:val="00D75631"/>
    <w:rsid w:val="00D81403"/>
    <w:rsid w:val="00D83747"/>
    <w:rsid w:val="00D83B80"/>
    <w:rsid w:val="00D86476"/>
    <w:rsid w:val="00D94888"/>
    <w:rsid w:val="00D949D0"/>
    <w:rsid w:val="00D949E1"/>
    <w:rsid w:val="00D95357"/>
    <w:rsid w:val="00DB3465"/>
    <w:rsid w:val="00DB3FE5"/>
    <w:rsid w:val="00DB581C"/>
    <w:rsid w:val="00DB5FF4"/>
    <w:rsid w:val="00DB68C7"/>
    <w:rsid w:val="00DC48F7"/>
    <w:rsid w:val="00DD29C8"/>
    <w:rsid w:val="00DD556F"/>
    <w:rsid w:val="00DE1EEF"/>
    <w:rsid w:val="00DE5BE0"/>
    <w:rsid w:val="00DF0DEC"/>
    <w:rsid w:val="00DF2CA3"/>
    <w:rsid w:val="00DF2D57"/>
    <w:rsid w:val="00DF36CA"/>
    <w:rsid w:val="00E028C6"/>
    <w:rsid w:val="00E03881"/>
    <w:rsid w:val="00E0498C"/>
    <w:rsid w:val="00E11885"/>
    <w:rsid w:val="00E13481"/>
    <w:rsid w:val="00E137BD"/>
    <w:rsid w:val="00E15742"/>
    <w:rsid w:val="00E157CA"/>
    <w:rsid w:val="00E203D0"/>
    <w:rsid w:val="00E236C6"/>
    <w:rsid w:val="00E239C6"/>
    <w:rsid w:val="00E24342"/>
    <w:rsid w:val="00E24F8F"/>
    <w:rsid w:val="00E25E52"/>
    <w:rsid w:val="00E31E9F"/>
    <w:rsid w:val="00E32DF7"/>
    <w:rsid w:val="00E33630"/>
    <w:rsid w:val="00E37BD0"/>
    <w:rsid w:val="00E37ED0"/>
    <w:rsid w:val="00E454CA"/>
    <w:rsid w:val="00E45ECB"/>
    <w:rsid w:val="00E50936"/>
    <w:rsid w:val="00E52E64"/>
    <w:rsid w:val="00E53301"/>
    <w:rsid w:val="00E600E3"/>
    <w:rsid w:val="00E63FBB"/>
    <w:rsid w:val="00E65A10"/>
    <w:rsid w:val="00E70C67"/>
    <w:rsid w:val="00E71B17"/>
    <w:rsid w:val="00E7208D"/>
    <w:rsid w:val="00E723D4"/>
    <w:rsid w:val="00E73187"/>
    <w:rsid w:val="00E733BD"/>
    <w:rsid w:val="00E74EEC"/>
    <w:rsid w:val="00E82758"/>
    <w:rsid w:val="00E85437"/>
    <w:rsid w:val="00E87C3F"/>
    <w:rsid w:val="00E94A21"/>
    <w:rsid w:val="00E96911"/>
    <w:rsid w:val="00E976D7"/>
    <w:rsid w:val="00EA19DA"/>
    <w:rsid w:val="00EA23B1"/>
    <w:rsid w:val="00EB1019"/>
    <w:rsid w:val="00EB5EB0"/>
    <w:rsid w:val="00EC4BCE"/>
    <w:rsid w:val="00EC551B"/>
    <w:rsid w:val="00EC5A8C"/>
    <w:rsid w:val="00ED133E"/>
    <w:rsid w:val="00ED148A"/>
    <w:rsid w:val="00ED2DBE"/>
    <w:rsid w:val="00ED3490"/>
    <w:rsid w:val="00ED3846"/>
    <w:rsid w:val="00ED479D"/>
    <w:rsid w:val="00ED715E"/>
    <w:rsid w:val="00ED73A5"/>
    <w:rsid w:val="00EE1B4D"/>
    <w:rsid w:val="00EE3B0F"/>
    <w:rsid w:val="00EE4C6B"/>
    <w:rsid w:val="00EE6D34"/>
    <w:rsid w:val="00EE7028"/>
    <w:rsid w:val="00EF37D5"/>
    <w:rsid w:val="00EF69C8"/>
    <w:rsid w:val="00F02339"/>
    <w:rsid w:val="00F02418"/>
    <w:rsid w:val="00F02E58"/>
    <w:rsid w:val="00F107D8"/>
    <w:rsid w:val="00F120F4"/>
    <w:rsid w:val="00F16B05"/>
    <w:rsid w:val="00F21009"/>
    <w:rsid w:val="00F23DB5"/>
    <w:rsid w:val="00F24CCB"/>
    <w:rsid w:val="00F3184C"/>
    <w:rsid w:val="00F31F3B"/>
    <w:rsid w:val="00F32A43"/>
    <w:rsid w:val="00F36AF7"/>
    <w:rsid w:val="00F40E33"/>
    <w:rsid w:val="00F4235D"/>
    <w:rsid w:val="00F47BAE"/>
    <w:rsid w:val="00F522BC"/>
    <w:rsid w:val="00F52EA3"/>
    <w:rsid w:val="00F57DE4"/>
    <w:rsid w:val="00F60244"/>
    <w:rsid w:val="00F67EDE"/>
    <w:rsid w:val="00F7229A"/>
    <w:rsid w:val="00F747E2"/>
    <w:rsid w:val="00F76F6E"/>
    <w:rsid w:val="00F8040C"/>
    <w:rsid w:val="00F85181"/>
    <w:rsid w:val="00F879CA"/>
    <w:rsid w:val="00F87B69"/>
    <w:rsid w:val="00F91DCA"/>
    <w:rsid w:val="00F968FB"/>
    <w:rsid w:val="00FA0CFF"/>
    <w:rsid w:val="00FA0D36"/>
    <w:rsid w:val="00FA2A44"/>
    <w:rsid w:val="00FB4EBC"/>
    <w:rsid w:val="00FB69AB"/>
    <w:rsid w:val="00FD1357"/>
    <w:rsid w:val="00FD1E4F"/>
    <w:rsid w:val="00FD250E"/>
    <w:rsid w:val="00FD5EA2"/>
    <w:rsid w:val="00FD5F77"/>
    <w:rsid w:val="00FD6439"/>
    <w:rsid w:val="00FE0D76"/>
    <w:rsid w:val="00FE4FC1"/>
    <w:rsid w:val="00FE5304"/>
    <w:rsid w:val="00FE6265"/>
    <w:rsid w:val="00FE62F6"/>
    <w:rsid w:val="00FE6313"/>
    <w:rsid w:val="00FF021E"/>
    <w:rsid w:val="00FF1E55"/>
    <w:rsid w:val="00FF4752"/>
    <w:rsid w:val="00FF70D7"/>
    <w:rsid w:val="00FF797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059B35"/>
  <w15:docId w15:val="{6A059315-8226-473A-B294-B0E6BCF6F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adjustRightInd w:val="0"/>
      <w:spacing w:line="360" w:lineRule="atLeast"/>
      <w:textAlignment w:val="baseline"/>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rPr>
  </w:style>
  <w:style w:type="paragraph" w:styleId="a4">
    <w:name w:val="footer"/>
    <w:basedOn w:val="a"/>
    <w:pPr>
      <w:tabs>
        <w:tab w:val="center" w:pos="4153"/>
        <w:tab w:val="right" w:pos="8306"/>
      </w:tabs>
      <w:snapToGrid w:val="0"/>
    </w:pPr>
    <w:rPr>
      <w:sz w:val="20"/>
    </w:rPr>
  </w:style>
  <w:style w:type="paragraph" w:styleId="a5">
    <w:name w:val="Body Text Indent"/>
    <w:basedOn w:val="a"/>
    <w:pPr>
      <w:spacing w:line="100" w:lineRule="atLeast"/>
      <w:ind w:left="540"/>
    </w:pPr>
    <w:rPr>
      <w:rFonts w:ascii="標楷體" w:eastAsia="標楷體"/>
      <w:sz w:val="16"/>
    </w:rPr>
  </w:style>
  <w:style w:type="paragraph" w:styleId="2">
    <w:name w:val="Body Text Indent 2"/>
    <w:basedOn w:val="a"/>
    <w:pPr>
      <w:numPr>
        <w:ilvl w:val="12"/>
      </w:numPr>
      <w:spacing w:line="100" w:lineRule="atLeast"/>
      <w:ind w:left="360"/>
    </w:pPr>
    <w:rPr>
      <w:rFonts w:ascii="標楷體" w:eastAsia="標楷體"/>
      <w:sz w:val="16"/>
    </w:rPr>
  </w:style>
  <w:style w:type="paragraph" w:styleId="3">
    <w:name w:val="Body Text Indent 3"/>
    <w:basedOn w:val="a"/>
    <w:pPr>
      <w:spacing w:line="100" w:lineRule="atLeast"/>
      <w:ind w:left="1620"/>
    </w:pPr>
    <w:rPr>
      <w:rFonts w:ascii="標楷體" w:eastAsia="標楷體"/>
      <w:sz w:val="16"/>
    </w:rPr>
  </w:style>
  <w:style w:type="paragraph" w:styleId="a6">
    <w:name w:val="Body Text"/>
    <w:basedOn w:val="a"/>
    <w:pPr>
      <w:spacing w:line="100" w:lineRule="atLeast"/>
    </w:pPr>
    <w:rPr>
      <w:rFonts w:ascii="標楷體" w:eastAsia="標楷體"/>
      <w:sz w:val="16"/>
    </w:rPr>
  </w:style>
  <w:style w:type="paragraph" w:styleId="a7">
    <w:name w:val="Balloon Text"/>
    <w:basedOn w:val="a"/>
    <w:semiHidden/>
    <w:rPr>
      <w:rFonts w:ascii="Arial" w:hAnsi="Arial"/>
      <w:sz w:val="18"/>
      <w:szCs w:val="18"/>
    </w:rPr>
  </w:style>
  <w:style w:type="paragraph" w:customStyle="1" w:styleId="1">
    <w:name w:val="區塊文字1"/>
    <w:basedOn w:val="a"/>
    <w:pPr>
      <w:tabs>
        <w:tab w:val="left" w:pos="960"/>
        <w:tab w:val="left" w:pos="1920"/>
        <w:tab w:val="left" w:pos="2880"/>
        <w:tab w:val="left" w:pos="3840"/>
        <w:tab w:val="left" w:pos="4800"/>
        <w:tab w:val="left" w:pos="5760"/>
        <w:tab w:val="left" w:pos="6720"/>
        <w:tab w:val="left" w:pos="7680"/>
      </w:tabs>
      <w:autoSpaceDE w:val="0"/>
      <w:autoSpaceDN w:val="0"/>
      <w:spacing w:line="240" w:lineRule="auto"/>
      <w:ind w:left="240" w:right="-1005"/>
    </w:pPr>
    <w:rPr>
      <w:rFonts w:ascii="新細明體"/>
    </w:rPr>
  </w:style>
  <w:style w:type="paragraph" w:customStyle="1" w:styleId="10">
    <w:name w:val="樣式1"/>
    <w:basedOn w:val="a"/>
    <w:rsid w:val="005840FB"/>
    <w:pPr>
      <w:spacing w:line="336" w:lineRule="auto"/>
      <w:ind w:left="2359" w:hanging="1758"/>
      <w:jc w:val="both"/>
    </w:pPr>
    <w:rPr>
      <w:rFonts w:ascii="新細明體" w:hAnsi="Courier New"/>
      <w:spacing w:val="24"/>
      <w:kern w:val="2"/>
    </w:rPr>
  </w:style>
  <w:style w:type="character" w:styleId="a8">
    <w:name w:val="Hyperlink"/>
    <w:rsid w:val="00F02E58"/>
    <w:rPr>
      <w:color w:val="0000FF"/>
      <w:u w:val="single"/>
    </w:rPr>
  </w:style>
  <w:style w:type="paragraph" w:styleId="a9">
    <w:name w:val="List Paragraph"/>
    <w:basedOn w:val="a"/>
    <w:uiPriority w:val="34"/>
    <w:qFormat/>
    <w:rsid w:val="00C020F7"/>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150928">
      <w:bodyDiv w:val="1"/>
      <w:marLeft w:val="0"/>
      <w:marRight w:val="0"/>
      <w:marTop w:val="0"/>
      <w:marBottom w:val="0"/>
      <w:divBdr>
        <w:top w:val="none" w:sz="0" w:space="0" w:color="auto"/>
        <w:left w:val="none" w:sz="0" w:space="0" w:color="auto"/>
        <w:bottom w:val="none" w:sz="0" w:space="0" w:color="auto"/>
        <w:right w:val="none" w:sz="0" w:space="0" w:color="auto"/>
      </w:divBdr>
    </w:div>
    <w:div w:id="201405931">
      <w:bodyDiv w:val="1"/>
      <w:marLeft w:val="0"/>
      <w:marRight w:val="0"/>
      <w:marTop w:val="0"/>
      <w:marBottom w:val="0"/>
      <w:divBdr>
        <w:top w:val="none" w:sz="0" w:space="0" w:color="auto"/>
        <w:left w:val="none" w:sz="0" w:space="0" w:color="auto"/>
        <w:bottom w:val="none" w:sz="0" w:space="0" w:color="auto"/>
        <w:right w:val="none" w:sz="0" w:space="0" w:color="auto"/>
      </w:divBdr>
    </w:div>
    <w:div w:id="405735758">
      <w:bodyDiv w:val="1"/>
      <w:marLeft w:val="0"/>
      <w:marRight w:val="0"/>
      <w:marTop w:val="0"/>
      <w:marBottom w:val="0"/>
      <w:divBdr>
        <w:top w:val="none" w:sz="0" w:space="0" w:color="auto"/>
        <w:left w:val="none" w:sz="0" w:space="0" w:color="auto"/>
        <w:bottom w:val="none" w:sz="0" w:space="0" w:color="auto"/>
        <w:right w:val="none" w:sz="0" w:space="0" w:color="auto"/>
      </w:divBdr>
    </w:div>
    <w:div w:id="409470894">
      <w:bodyDiv w:val="1"/>
      <w:marLeft w:val="0"/>
      <w:marRight w:val="0"/>
      <w:marTop w:val="0"/>
      <w:marBottom w:val="0"/>
      <w:divBdr>
        <w:top w:val="none" w:sz="0" w:space="0" w:color="auto"/>
        <w:left w:val="none" w:sz="0" w:space="0" w:color="auto"/>
        <w:bottom w:val="none" w:sz="0" w:space="0" w:color="auto"/>
        <w:right w:val="none" w:sz="0" w:space="0" w:color="auto"/>
      </w:divBdr>
    </w:div>
    <w:div w:id="677657162">
      <w:bodyDiv w:val="1"/>
      <w:marLeft w:val="0"/>
      <w:marRight w:val="0"/>
      <w:marTop w:val="0"/>
      <w:marBottom w:val="0"/>
      <w:divBdr>
        <w:top w:val="none" w:sz="0" w:space="0" w:color="auto"/>
        <w:left w:val="none" w:sz="0" w:space="0" w:color="auto"/>
        <w:bottom w:val="none" w:sz="0" w:space="0" w:color="auto"/>
        <w:right w:val="none" w:sz="0" w:space="0" w:color="auto"/>
      </w:divBdr>
    </w:div>
    <w:div w:id="704138997">
      <w:bodyDiv w:val="1"/>
      <w:marLeft w:val="0"/>
      <w:marRight w:val="0"/>
      <w:marTop w:val="0"/>
      <w:marBottom w:val="0"/>
      <w:divBdr>
        <w:top w:val="none" w:sz="0" w:space="0" w:color="auto"/>
        <w:left w:val="none" w:sz="0" w:space="0" w:color="auto"/>
        <w:bottom w:val="none" w:sz="0" w:space="0" w:color="auto"/>
        <w:right w:val="none" w:sz="0" w:space="0" w:color="auto"/>
      </w:divBdr>
    </w:div>
    <w:div w:id="1008365712">
      <w:bodyDiv w:val="1"/>
      <w:marLeft w:val="0"/>
      <w:marRight w:val="0"/>
      <w:marTop w:val="0"/>
      <w:marBottom w:val="0"/>
      <w:divBdr>
        <w:top w:val="none" w:sz="0" w:space="0" w:color="auto"/>
        <w:left w:val="none" w:sz="0" w:space="0" w:color="auto"/>
        <w:bottom w:val="none" w:sz="0" w:space="0" w:color="auto"/>
        <w:right w:val="none" w:sz="0" w:space="0" w:color="auto"/>
      </w:divBdr>
    </w:div>
    <w:div w:id="1574120746">
      <w:bodyDiv w:val="1"/>
      <w:marLeft w:val="0"/>
      <w:marRight w:val="0"/>
      <w:marTop w:val="0"/>
      <w:marBottom w:val="0"/>
      <w:divBdr>
        <w:top w:val="none" w:sz="0" w:space="0" w:color="auto"/>
        <w:left w:val="none" w:sz="0" w:space="0" w:color="auto"/>
        <w:bottom w:val="none" w:sz="0" w:space="0" w:color="auto"/>
        <w:right w:val="none" w:sz="0" w:space="0" w:color="auto"/>
      </w:divBdr>
    </w:div>
    <w:div w:id="1664551456">
      <w:bodyDiv w:val="1"/>
      <w:marLeft w:val="0"/>
      <w:marRight w:val="0"/>
      <w:marTop w:val="0"/>
      <w:marBottom w:val="0"/>
      <w:divBdr>
        <w:top w:val="none" w:sz="0" w:space="0" w:color="auto"/>
        <w:left w:val="none" w:sz="0" w:space="0" w:color="auto"/>
        <w:bottom w:val="none" w:sz="0" w:space="0" w:color="auto"/>
        <w:right w:val="none" w:sz="0" w:space="0" w:color="auto"/>
      </w:divBdr>
    </w:div>
    <w:div w:id="1689335392">
      <w:bodyDiv w:val="1"/>
      <w:marLeft w:val="0"/>
      <w:marRight w:val="0"/>
      <w:marTop w:val="0"/>
      <w:marBottom w:val="0"/>
      <w:divBdr>
        <w:top w:val="none" w:sz="0" w:space="0" w:color="auto"/>
        <w:left w:val="none" w:sz="0" w:space="0" w:color="auto"/>
        <w:bottom w:val="none" w:sz="0" w:space="0" w:color="auto"/>
        <w:right w:val="none" w:sz="0" w:space="0" w:color="auto"/>
      </w:divBdr>
    </w:div>
    <w:div w:id="1746537861">
      <w:bodyDiv w:val="1"/>
      <w:marLeft w:val="0"/>
      <w:marRight w:val="0"/>
      <w:marTop w:val="0"/>
      <w:marBottom w:val="0"/>
      <w:divBdr>
        <w:top w:val="none" w:sz="0" w:space="0" w:color="auto"/>
        <w:left w:val="none" w:sz="0" w:space="0" w:color="auto"/>
        <w:bottom w:val="none" w:sz="0" w:space="0" w:color="auto"/>
        <w:right w:val="none" w:sz="0" w:space="0" w:color="auto"/>
      </w:divBdr>
    </w:div>
    <w:div w:id="1851989917">
      <w:bodyDiv w:val="1"/>
      <w:marLeft w:val="0"/>
      <w:marRight w:val="0"/>
      <w:marTop w:val="0"/>
      <w:marBottom w:val="0"/>
      <w:divBdr>
        <w:top w:val="none" w:sz="0" w:space="0" w:color="auto"/>
        <w:left w:val="none" w:sz="0" w:space="0" w:color="auto"/>
        <w:bottom w:val="none" w:sz="0" w:space="0" w:color="auto"/>
        <w:right w:val="none" w:sz="0" w:space="0" w:color="auto"/>
      </w:divBdr>
    </w:div>
    <w:div w:id="1869827677">
      <w:bodyDiv w:val="1"/>
      <w:marLeft w:val="0"/>
      <w:marRight w:val="0"/>
      <w:marTop w:val="0"/>
      <w:marBottom w:val="0"/>
      <w:divBdr>
        <w:top w:val="none" w:sz="0" w:space="0" w:color="auto"/>
        <w:left w:val="none" w:sz="0" w:space="0" w:color="auto"/>
        <w:bottom w:val="none" w:sz="0" w:space="0" w:color="auto"/>
        <w:right w:val="none" w:sz="0" w:space="0" w:color="auto"/>
      </w:divBdr>
    </w:div>
    <w:div w:id="1906721785">
      <w:bodyDiv w:val="1"/>
      <w:marLeft w:val="0"/>
      <w:marRight w:val="0"/>
      <w:marTop w:val="0"/>
      <w:marBottom w:val="0"/>
      <w:divBdr>
        <w:top w:val="none" w:sz="0" w:space="0" w:color="auto"/>
        <w:left w:val="none" w:sz="0" w:space="0" w:color="auto"/>
        <w:bottom w:val="none" w:sz="0" w:space="0" w:color="auto"/>
        <w:right w:val="none" w:sz="0" w:space="0" w:color="auto"/>
      </w:divBdr>
    </w:div>
    <w:div w:id="1937859232">
      <w:bodyDiv w:val="1"/>
      <w:marLeft w:val="0"/>
      <w:marRight w:val="0"/>
      <w:marTop w:val="0"/>
      <w:marBottom w:val="0"/>
      <w:divBdr>
        <w:top w:val="none" w:sz="0" w:space="0" w:color="auto"/>
        <w:left w:val="none" w:sz="0" w:space="0" w:color="auto"/>
        <w:bottom w:val="none" w:sz="0" w:space="0" w:color="auto"/>
        <w:right w:val="none" w:sz="0" w:space="0" w:color="auto"/>
      </w:divBdr>
    </w:div>
    <w:div w:id="2064014286">
      <w:bodyDiv w:val="1"/>
      <w:marLeft w:val="0"/>
      <w:marRight w:val="0"/>
      <w:marTop w:val="0"/>
      <w:marBottom w:val="0"/>
      <w:divBdr>
        <w:top w:val="none" w:sz="0" w:space="0" w:color="auto"/>
        <w:left w:val="none" w:sz="0" w:space="0" w:color="auto"/>
        <w:bottom w:val="none" w:sz="0" w:space="0" w:color="auto"/>
        <w:right w:val="none" w:sz="0" w:space="0" w:color="auto"/>
      </w:divBdr>
    </w:div>
    <w:div w:id="2079159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7CD36C-F94B-458B-94BF-9AFAB416A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1271</Words>
  <Characters>7246</Characters>
  <Application>Microsoft Office Word</Application>
  <DocSecurity>0</DocSecurity>
  <Lines>60</Lines>
  <Paragraphs>16</Paragraphs>
  <ScaleCrop>false</ScaleCrop>
  <Company>MasterLink</Company>
  <LinksUpToDate>false</LinksUpToDate>
  <CharactersWithSpaces>8501</CharactersWithSpaces>
  <SharedDoc>false</SharedDoc>
  <HLinks>
    <vt:vector size="6" baseType="variant">
      <vt:variant>
        <vt:i4>2293881</vt:i4>
      </vt:variant>
      <vt:variant>
        <vt:i4>24</vt:i4>
      </vt:variant>
      <vt:variant>
        <vt:i4>0</vt:i4>
      </vt:variant>
      <vt:variant>
        <vt:i4>5</vt:i4>
      </vt:variant>
      <vt:variant>
        <vt:lpwstr>http://mops.twse.com.tw/mops/web/index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元富證券股份有限公司發行</dc:title>
  <dc:creator>Masterlink</dc:creator>
  <cp:lastModifiedBy>張庭榛 JOYCE</cp:lastModifiedBy>
  <cp:revision>13</cp:revision>
  <cp:lastPrinted>2008-11-24T02:33:00Z</cp:lastPrinted>
  <dcterms:created xsi:type="dcterms:W3CDTF">2021-12-01T01:53:00Z</dcterms:created>
  <dcterms:modified xsi:type="dcterms:W3CDTF">2025-10-23T02:01:00Z</dcterms:modified>
</cp:coreProperties>
</file>