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DC4F5F" w14:textId="5AE3AC50" w:rsidR="005810E5" w:rsidRPr="006675C9" w:rsidRDefault="005810E5" w:rsidP="00886D70">
      <w:pPr>
        <w:spacing w:line="200" w:lineRule="exact"/>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發行人國泰綜合證券股份有限公司</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行政院金融監督管理委員會九十五年三月十日金管證二字第</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九四</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一六一二六八號函認可發行認購</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售</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權證資格在案</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發行</w:t>
      </w:r>
      <w:proofErr w:type="spellStart"/>
      <w:proofErr w:type="spellEnd"/>
      <w:r>
        <w:rPr>
          <w:rFonts w:ascii="Arial" w:eastAsia="標楷體" w:hAnsi="標楷體" w:cs="Arial" w:hint="eastAsia"/>
          <w:color w:val="000000" w:themeColor="text1"/>
          <w:sz w:val="18"/>
          <w:szCs w:val="18"/>
        </w:rPr>
        <w:t>聖暉工程科技股份有限公司普通股</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。計</w:t>
      </w:r>
      <w:proofErr w:type="spellStart"/>
      <w:proofErr w:type="spellEnd"/>
      <w:r>
        <w:rPr>
          <w:rFonts w:ascii="Arial" w:eastAsia="標楷體" w:hAnsi="Arial" w:cs="Arial" w:hint="eastAsia"/>
          <w:b/>
          <w:bCs/>
          <w:color w:val="000000" w:themeColor="text1"/>
          <w:sz w:val="18"/>
          <w:szCs w:val="18"/>
        </w:rPr>
        <w:t>5,000,000</w:t>
      </w:r>
      <w:r w:rsidR="0044691D" w:rsidRPr="006675C9">
        <w:rPr>
          <w:rFonts w:ascii="Arial" w:eastAsia="標楷體" w:hAnsi="Arial" w:cs="Arial"/>
          <w:b/>
          <w:bCs/>
          <w:color w:val="000000" w:themeColor="text1"/>
          <w:sz w:val="18"/>
          <w:szCs w:val="18"/>
        </w:rPr>
        <w:t xml:space="preserve"> </w:t>
      </w:r>
      <w:r w:rsidRPr="006675C9">
        <w:rPr>
          <w:rFonts w:ascii="Arial" w:eastAsia="標楷體" w:hAnsi="標楷體" w:cs="Arial"/>
          <w:color w:val="000000" w:themeColor="text1"/>
          <w:sz w:val="18"/>
          <w:szCs w:val="18"/>
        </w:rPr>
        <w:t>個單位，採自行銷售方式辦理對外公開銷售。</w:t>
      </w:r>
    </w:p>
    <w:p w14:paraId="65DDF2EF" w14:textId="77777777" w:rsidR="009B60F1" w:rsidRPr="006675C9" w:rsidRDefault="0044691D" w:rsidP="00886D70">
      <w:pPr>
        <w:snapToGrid w:val="0"/>
        <w:spacing w:line="200" w:lineRule="exact"/>
        <w:rPr>
          <w:rFonts w:ascii="Arial" w:eastAsia="標楷體" w:hAnsi="Arial" w:cs="Arial"/>
          <w:color w:val="000000" w:themeColor="text1"/>
          <w:sz w:val="18"/>
          <w:szCs w:val="18"/>
        </w:rPr>
      </w:pPr>
      <w:proofErr w:type="spellStart"/>
      <w:proofErr w:type="spellEnd"/>
      <w:r>
        <w:rPr>
          <w:rFonts w:ascii="Arial" w:eastAsia="標楷體" w:hAnsi="標楷體" w:cs="Arial" w:hint="eastAsia"/>
          <w:color w:val="000000" w:themeColor="text1"/>
          <w:sz w:val="18"/>
          <w:szCs w:val="18"/>
        </w:rPr>
        <w:t>聖暉工程科技股份有限公司普通股</w:t>
      </w:r>
      <w:r w:rsidR="00F45FE2" w:rsidRPr="006675C9">
        <w:rPr>
          <w:rFonts w:ascii="Arial" w:eastAsia="標楷體" w:hAnsi="標楷體" w:cs="Arial" w:hint="eastAsia"/>
          <w:color w:val="000000" w:themeColor="text1"/>
          <w:sz w:val="18"/>
          <w:szCs w:val="18"/>
        </w:rPr>
        <w:t>認購權證</w:t>
      </w:r>
      <w:r w:rsidR="009B60F1" w:rsidRPr="006675C9">
        <w:rPr>
          <w:rFonts w:ascii="Arial" w:eastAsia="標楷體" w:hAnsi="標楷體" w:cs="Arial"/>
          <w:color w:val="000000" w:themeColor="text1"/>
          <w:sz w:val="18"/>
          <w:szCs w:val="18"/>
        </w:rPr>
        <w:t>業經</w:t>
      </w:r>
      <w:r w:rsidR="00CE55CF" w:rsidRPr="006675C9">
        <w:rPr>
          <w:rFonts w:ascii="Arial" w:eastAsia="標楷體" w:hAnsi="標楷體" w:cs="Arial"/>
          <w:color w:val="000000" w:themeColor="text1"/>
          <w:sz w:val="18"/>
          <w:szCs w:val="18"/>
        </w:rPr>
        <w:t>財團法人</w:t>
      </w:r>
      <w:r w:rsidR="0020197A" w:rsidRPr="006675C9">
        <w:rPr>
          <w:rFonts w:ascii="Arial" w:eastAsia="標楷體" w:hAnsi="標楷體" w:cs="Arial"/>
          <w:color w:val="000000" w:themeColor="text1"/>
          <w:sz w:val="18"/>
          <w:szCs w:val="18"/>
        </w:rPr>
        <w:t>中華民國證券櫃檯買賣中心</w:t>
      </w:r>
      <w:r w:rsidR="009B60F1" w:rsidRPr="006675C9">
        <w:rPr>
          <w:rFonts w:ascii="Arial" w:eastAsia="標楷體" w:hAnsi="標楷體" w:cs="Arial"/>
          <w:color w:val="000000" w:themeColor="text1"/>
          <w:sz w:val="18"/>
          <w:szCs w:val="18"/>
        </w:rPr>
        <w:t>審查同意其發行，且</w:t>
      </w:r>
      <w:r w:rsidR="0020197A" w:rsidRPr="006675C9">
        <w:rPr>
          <w:rFonts w:ascii="Arial" w:eastAsia="標楷體" w:hAnsi="標楷體" w:cs="Arial"/>
          <w:color w:val="000000" w:themeColor="text1"/>
          <w:sz w:val="18"/>
          <w:szCs w:val="18"/>
        </w:rPr>
        <w:t>上櫃</w:t>
      </w:r>
      <w:r w:rsidR="009B60F1" w:rsidRPr="006675C9">
        <w:rPr>
          <w:rFonts w:ascii="Arial" w:eastAsia="標楷體" w:hAnsi="標楷體" w:cs="Arial"/>
          <w:color w:val="000000" w:themeColor="text1"/>
          <w:sz w:val="18"/>
          <w:szCs w:val="18"/>
        </w:rPr>
        <w:t>契約業經</w:t>
      </w:r>
      <w:r w:rsidR="00CE55CF" w:rsidRPr="006675C9">
        <w:rPr>
          <w:rFonts w:ascii="Arial" w:eastAsia="標楷體" w:hAnsi="標楷體" w:cs="Arial"/>
          <w:color w:val="000000" w:themeColor="text1"/>
          <w:sz w:val="18"/>
          <w:szCs w:val="18"/>
        </w:rPr>
        <w:t>財團法人中華民國證券櫃檯買賣中心</w:t>
      </w:r>
      <w:proofErr w:type="spellStart"/>
      <w:proofErr w:type="spellEnd"/>
      <w:r>
        <w:rPr>
          <w:rFonts w:ascii="Arial" w:eastAsia="標楷體" w:hAnsi="標楷體" w:cs="Arial" w:hint="eastAsia"/>
          <w:color w:val="000000" w:themeColor="text1"/>
          <w:sz w:val="18"/>
          <w:szCs w:val="18"/>
        </w:rPr>
        <w:t>114年11月13日</w:t>
      </w:r>
      <w:r w:rsidR="00CE55CF" w:rsidRPr="006675C9">
        <w:rPr>
          <w:rFonts w:ascii="Arial" w:eastAsia="標楷體" w:hAnsi="標楷體" w:cs="Arial"/>
          <w:color w:val="000000" w:themeColor="text1"/>
          <w:sz w:val="18"/>
          <w:szCs w:val="18"/>
        </w:rPr>
        <w:t>證櫃交字</w:t>
      </w:r>
      <w:r w:rsidR="003200EF" w:rsidRPr="006675C9">
        <w:rPr>
          <w:rFonts w:ascii="Arial" w:eastAsia="標楷體" w:hAnsi="標楷體" w:cs="Arial"/>
          <w:b/>
          <w:color w:val="000000" w:themeColor="text1"/>
          <w:sz w:val="18"/>
          <w:szCs w:val="18"/>
        </w:rPr>
        <w:t>第</w:t>
      </w:r>
      <w:proofErr w:type="spellStart"/>
      <w:proofErr w:type="spellEnd"/>
      <w:r>
        <w:rPr>
          <w:rFonts w:ascii="Arial" w:eastAsia="標楷體" w:hAnsi="Arial" w:cs="Arial" w:hint="eastAsia"/>
          <w:b/>
          <w:color w:val="000000" w:themeColor="text1"/>
          <w:sz w:val="18"/>
          <w:szCs w:val="18"/>
        </w:rPr>
        <w:t>1140076964</w:t>
      </w:r>
      <w:r w:rsidR="00DC3AF0" w:rsidRPr="006675C9">
        <w:rPr>
          <w:rFonts w:ascii="Arial" w:eastAsia="標楷體" w:hAnsi="Arial" w:cs="Arial" w:hint="eastAsia"/>
          <w:b/>
          <w:color w:val="000000" w:themeColor="text1"/>
          <w:sz w:val="18"/>
          <w:szCs w:val="18"/>
        </w:rPr>
        <w:t>號</w:t>
      </w:r>
      <w:r w:rsidR="009B60F1" w:rsidRPr="006675C9">
        <w:rPr>
          <w:rFonts w:ascii="Arial" w:eastAsia="標楷體" w:hAnsi="標楷體" w:cs="Arial"/>
          <w:b/>
          <w:color w:val="000000" w:themeColor="text1"/>
          <w:sz w:val="18"/>
          <w:szCs w:val="18"/>
        </w:rPr>
        <w:t>函</w:t>
      </w:r>
      <w:r w:rsidR="009B60F1" w:rsidRPr="006675C9">
        <w:rPr>
          <w:rFonts w:ascii="Arial" w:eastAsia="標楷體" w:hAnsi="標楷體" w:cs="Arial"/>
          <w:color w:val="000000" w:themeColor="text1"/>
          <w:sz w:val="18"/>
          <w:szCs w:val="18"/>
        </w:rPr>
        <w:t>核准備查在案。</w:t>
      </w:r>
    </w:p>
    <w:p w14:paraId="0EBDABBF" w14:textId="77777777" w:rsidR="009B60F1" w:rsidRPr="006675C9" w:rsidRDefault="009B60F1" w:rsidP="00886D70">
      <w:pPr>
        <w:snapToGrid w:val="0"/>
        <w:spacing w:line="200" w:lineRule="exact"/>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茲將</w:t>
      </w:r>
      <w:r w:rsidR="0020197A" w:rsidRPr="006675C9">
        <w:rPr>
          <w:rFonts w:ascii="Arial" w:eastAsia="標楷體" w:hAnsi="標楷體" w:cs="Arial"/>
          <w:color w:val="000000" w:themeColor="text1"/>
          <w:sz w:val="18"/>
          <w:szCs w:val="18"/>
        </w:rPr>
        <w:t>上櫃</w:t>
      </w:r>
      <w:r w:rsidRPr="006675C9">
        <w:rPr>
          <w:rFonts w:ascii="Arial" w:eastAsia="標楷體" w:hAnsi="標楷體" w:cs="Arial"/>
          <w:color w:val="000000" w:themeColor="text1"/>
          <w:sz w:val="18"/>
          <w:szCs w:val="18"/>
        </w:rPr>
        <w:t>之相關事項公告於後</w:t>
      </w:r>
    </w:p>
    <w:p w14:paraId="1D72679A" w14:textId="77777777" w:rsidR="004E7743" w:rsidRPr="006675C9" w:rsidRDefault="004E7743" w:rsidP="00886D70">
      <w:pPr>
        <w:numPr>
          <w:ilvl w:val="0"/>
          <w:numId w:val="3"/>
        </w:numPr>
        <w:tabs>
          <w:tab w:val="clear" w:pos="482"/>
          <w:tab w:val="num" w:pos="360"/>
        </w:tabs>
        <w:snapToGrid w:val="0"/>
        <w:spacing w:line="200" w:lineRule="exact"/>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發</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行</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日</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期</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w:t>
      </w:r>
      <w:r w:rsidR="00F45FE2" w:rsidRPr="006675C9">
        <w:rPr>
          <w:rFonts w:ascii="Arial" w:eastAsia="標楷體" w:hAnsi="標楷體" w:cs="Arial"/>
          <w:b/>
          <w:bCs/>
          <w:color w:val="000000" w:themeColor="text1"/>
          <w:sz w:val="18"/>
          <w:szCs w:val="18"/>
        </w:rPr>
        <w:t>中華民國</w:t>
      </w:r>
      <w:proofErr w:type="spellStart"/>
      <w:proofErr w:type="spellEnd"/>
      <w:r>
        <w:rPr>
          <w:rFonts w:ascii="Arial" w:eastAsia="標楷體" w:hAnsi="標楷體" w:cs="Arial" w:hint="eastAsia"/>
          <w:b/>
          <w:bCs/>
          <w:color w:val="000000" w:themeColor="text1"/>
          <w:sz w:val="18"/>
          <w:szCs w:val="18"/>
        </w:rPr>
        <w:t>114年11月14日</w:t>
      </w:r>
    </w:p>
    <w:p w14:paraId="48FD2EAD" w14:textId="77777777" w:rsidR="004E7743" w:rsidRPr="006675C9" w:rsidRDefault="004E7743" w:rsidP="00886D70">
      <w:pPr>
        <w:numPr>
          <w:ilvl w:val="0"/>
          <w:numId w:val="3"/>
        </w:numPr>
        <w:tabs>
          <w:tab w:val="clear" w:pos="482"/>
          <w:tab w:val="num" w:pos="360"/>
        </w:tabs>
        <w:snapToGrid w:val="0"/>
        <w:spacing w:line="200" w:lineRule="exact"/>
        <w:ind w:left="360" w:hanging="360"/>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存</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續</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期</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間</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w:t>
      </w:r>
      <w:r w:rsidRPr="006675C9">
        <w:rPr>
          <w:rFonts w:ascii="Arial" w:eastAsia="標楷體" w:hAnsi="標楷體" w:cs="Arial"/>
          <w:color w:val="000000" w:themeColor="text1"/>
          <w:sz w:val="18"/>
          <w:szCs w:val="18"/>
        </w:rPr>
        <w:t>自</w:t>
      </w:r>
      <w:r w:rsidR="0020197A" w:rsidRPr="006675C9">
        <w:rPr>
          <w:rFonts w:ascii="Arial" w:eastAsia="標楷體" w:hAnsi="標楷體" w:cs="Arial"/>
          <w:color w:val="000000" w:themeColor="text1"/>
          <w:sz w:val="18"/>
          <w:szCs w:val="18"/>
        </w:rPr>
        <w:t>上櫃</w:t>
      </w:r>
      <w:r w:rsidRPr="006675C9">
        <w:rPr>
          <w:rFonts w:ascii="Arial" w:eastAsia="標楷體" w:hAnsi="標楷體" w:cs="Arial"/>
          <w:color w:val="000000" w:themeColor="text1"/>
          <w:sz w:val="18"/>
          <w:szCs w:val="18"/>
        </w:rPr>
        <w:t>買賣日</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含</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起算存續期間</w:t>
      </w:r>
      <w:r>
        <w:rPr>
          <w:rFonts w:ascii="Arial" w:eastAsia="標楷體" w:hAnsi="Arial" w:cs="Arial" w:hint="eastAsia"/>
          <w:color w:val="000000" w:themeColor="text1"/>
          <w:sz w:val="18"/>
          <w:szCs w:val="18"/>
        </w:rPr>
        <w:t>七</w:t>
      </w:r>
      <w:r w:rsidR="00F45FE2" w:rsidRPr="006675C9">
        <w:rPr>
          <w:rFonts w:ascii="Arial" w:eastAsia="標楷體" w:hAnsi="標楷體" w:cs="Arial" w:hint="eastAsia"/>
          <w:color w:val="000000" w:themeColor="text1"/>
          <w:sz w:val="18"/>
          <w:szCs w:val="18"/>
        </w:rPr>
        <w:t>個月</w:t>
      </w:r>
      <w:r w:rsidR="00F45FE2" w:rsidRPr="006675C9">
        <w:rPr>
          <w:rFonts w:ascii="Arial" w:eastAsia="標楷體" w:hAnsi="標楷體" w:cs="Arial" w:hint="eastAsia"/>
          <w:b/>
          <w:bCs/>
          <w:color w:val="000000" w:themeColor="text1"/>
          <w:sz w:val="18"/>
          <w:szCs w:val="18"/>
        </w:rPr>
        <w:t>。</w:t>
      </w:r>
    </w:p>
    <w:p w14:paraId="33F47160" w14:textId="77777777" w:rsidR="004E7743" w:rsidRPr="006675C9" w:rsidRDefault="004E7743" w:rsidP="00886D70">
      <w:pPr>
        <w:numPr>
          <w:ilvl w:val="0"/>
          <w:numId w:val="3"/>
        </w:numPr>
        <w:tabs>
          <w:tab w:val="clear" w:pos="482"/>
          <w:tab w:val="left" w:pos="360"/>
        </w:tabs>
        <w:snapToGrid w:val="0"/>
        <w:spacing w:line="200" w:lineRule="exact"/>
        <w:jc w:val="both"/>
        <w:rPr>
          <w:rFonts w:ascii="Arial" w:eastAsia="標楷體" w:hAnsi="Arial" w:cs="Arial"/>
          <w:color w:val="000000" w:themeColor="text1"/>
          <w:sz w:val="18"/>
          <w:szCs w:val="18"/>
        </w:rPr>
      </w:pPr>
      <w:r w:rsidRPr="006675C9">
        <w:rPr>
          <w:rFonts w:ascii="Arial" w:eastAsia="標楷體" w:hAnsi="標楷體" w:cs="Arial"/>
          <w:b/>
          <w:snapToGrid w:val="0"/>
          <w:color w:val="000000" w:themeColor="text1"/>
          <w:sz w:val="18"/>
          <w:szCs w:val="18"/>
        </w:rPr>
        <w:t>標</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的</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證</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券</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w:t>
      </w:r>
      <w:proofErr w:type="spellStart"/>
      <w:proofErr w:type="spellEnd"/>
      <w:r>
        <w:rPr>
          <w:rFonts w:ascii="Arial" w:eastAsia="標楷體" w:hAnsi="標楷體" w:cs="Arial" w:hint="eastAsia"/>
          <w:b/>
          <w:snapToGrid w:val="0"/>
          <w:color w:val="000000" w:themeColor="text1"/>
          <w:sz w:val="18"/>
          <w:szCs w:val="18"/>
        </w:rPr>
        <w:t>聖暉工程科技股份有限公司普通股</w:t>
      </w:r>
    </w:p>
    <w:p w14:paraId="43AE3123" w14:textId="77777777" w:rsidR="004E7743" w:rsidRPr="006675C9" w:rsidRDefault="004E7743" w:rsidP="00886D70">
      <w:pPr>
        <w:numPr>
          <w:ilvl w:val="0"/>
          <w:numId w:val="3"/>
        </w:numPr>
        <w:tabs>
          <w:tab w:val="clear" w:pos="482"/>
          <w:tab w:val="left" w:pos="360"/>
        </w:tabs>
        <w:snapToGrid w:val="0"/>
        <w:spacing w:line="200" w:lineRule="exact"/>
        <w:jc w:val="both"/>
        <w:rPr>
          <w:rFonts w:ascii="Arial" w:eastAsia="標楷體" w:hAnsi="Arial" w:cs="Arial"/>
          <w:color w:val="000000" w:themeColor="text1"/>
          <w:sz w:val="18"/>
          <w:szCs w:val="18"/>
        </w:rPr>
      </w:pPr>
      <w:r w:rsidRPr="006675C9">
        <w:rPr>
          <w:rFonts w:ascii="Arial" w:eastAsia="標楷體" w:hAnsi="標楷體" w:cs="Arial"/>
          <w:b/>
          <w:snapToGrid w:val="0"/>
          <w:color w:val="000000" w:themeColor="text1"/>
          <w:sz w:val="18"/>
          <w:szCs w:val="18"/>
        </w:rPr>
        <w:t>權</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證</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種</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snapToGrid w:val="0"/>
          <w:color w:val="000000" w:themeColor="text1"/>
          <w:sz w:val="18"/>
          <w:szCs w:val="18"/>
        </w:rPr>
        <w:t>類</w:t>
      </w:r>
      <w:r w:rsidRPr="006675C9">
        <w:rPr>
          <w:rFonts w:ascii="Arial" w:eastAsia="標楷體" w:hAnsi="Arial" w:cs="Arial"/>
          <w:b/>
          <w:snapToGrid w:val="0"/>
          <w:color w:val="000000" w:themeColor="text1"/>
          <w:sz w:val="18"/>
          <w:szCs w:val="18"/>
        </w:rPr>
        <w:t xml:space="preserve"> </w:t>
      </w:r>
      <w:r w:rsidRPr="006675C9">
        <w:rPr>
          <w:rFonts w:ascii="Arial" w:eastAsia="標楷體" w:hAnsi="標楷體" w:cs="Arial"/>
          <w:b/>
          <w:color w:val="000000" w:themeColor="text1"/>
          <w:sz w:val="18"/>
          <w:szCs w:val="18"/>
        </w:rPr>
        <w:t>：</w:t>
      </w:r>
      <w:proofErr w:type="spellStart"/>
      <w:proofErr w:type="spellEnd"/>
      <w:r>
        <w:rPr>
          <w:rFonts w:ascii="Arial" w:eastAsia="標楷體" w:hAnsi="標楷體" w:cs="Arial" w:hint="eastAsia"/>
          <w:b/>
          <w:bCs/>
          <w:color w:val="000000" w:themeColor="text1"/>
          <w:sz w:val="18"/>
          <w:szCs w:val="18"/>
        </w:rPr>
        <w:t>美式價外</w:t>
      </w:r>
      <w:r w:rsidR="00F45FE2" w:rsidRPr="006675C9">
        <w:rPr>
          <w:rFonts w:ascii="Arial" w:eastAsia="標楷體" w:hAnsi="標楷體" w:cs="Arial" w:hint="eastAsia"/>
          <w:b/>
          <w:bCs/>
          <w:color w:val="000000" w:themeColor="text1"/>
          <w:sz w:val="18"/>
          <w:szCs w:val="18"/>
        </w:rPr>
        <w:t>認購權證</w:t>
      </w:r>
      <w:r w:rsidRPr="006675C9">
        <w:rPr>
          <w:rFonts w:ascii="Arial" w:eastAsia="標楷體" w:hAnsi="標楷體" w:cs="Arial"/>
          <w:b/>
          <w:bCs/>
          <w:color w:val="000000" w:themeColor="text1"/>
          <w:sz w:val="18"/>
          <w:szCs w:val="18"/>
        </w:rPr>
        <w:t>。</w:t>
      </w:r>
    </w:p>
    <w:p w14:paraId="0C9FED93" w14:textId="77777777" w:rsidR="004E7743" w:rsidRPr="006675C9" w:rsidRDefault="004E7743" w:rsidP="00886D70">
      <w:pPr>
        <w:numPr>
          <w:ilvl w:val="0"/>
          <w:numId w:val="3"/>
        </w:numPr>
        <w:tabs>
          <w:tab w:val="clear" w:pos="482"/>
          <w:tab w:val="left" w:pos="360"/>
        </w:tabs>
        <w:snapToGrid w:val="0"/>
        <w:spacing w:line="200" w:lineRule="exact"/>
        <w:jc w:val="both"/>
        <w:rPr>
          <w:rFonts w:ascii="Arial" w:eastAsia="標楷體" w:hAnsi="Arial" w:cs="Arial"/>
          <w:color w:val="000000" w:themeColor="text1"/>
          <w:sz w:val="18"/>
          <w:szCs w:val="18"/>
        </w:rPr>
      </w:pPr>
      <w:r w:rsidRPr="006675C9">
        <w:rPr>
          <w:rFonts w:ascii="Arial" w:eastAsia="標楷體" w:hAnsi="標楷體" w:cs="Arial"/>
          <w:b/>
          <w:snapToGrid w:val="0"/>
          <w:color w:val="000000" w:themeColor="text1"/>
          <w:sz w:val="18"/>
          <w:szCs w:val="18"/>
        </w:rPr>
        <w:t>發行單位總數</w:t>
      </w:r>
      <w:r w:rsidRPr="006675C9">
        <w:rPr>
          <w:rFonts w:ascii="Arial" w:eastAsia="標楷體" w:hAnsi="標楷體" w:cs="Arial"/>
          <w:b/>
          <w:color w:val="000000" w:themeColor="text1"/>
          <w:sz w:val="18"/>
          <w:szCs w:val="18"/>
        </w:rPr>
        <w:t>：</w:t>
      </w:r>
      <w:r w:rsidRPr="006675C9">
        <w:rPr>
          <w:rFonts w:ascii="Arial" w:eastAsia="標楷體" w:hAnsi="標楷體" w:cs="Arial"/>
          <w:color w:val="000000" w:themeColor="text1"/>
          <w:sz w:val="18"/>
          <w:szCs w:val="18"/>
        </w:rPr>
        <w:t>本</w:t>
      </w:r>
      <w:r w:rsidR="00F45FE2" w:rsidRPr="006675C9">
        <w:rPr>
          <w:rFonts w:ascii="Arial" w:eastAsia="標楷體" w:hAnsi="標楷體" w:cs="Arial" w:hint="eastAsia"/>
          <w:bCs/>
          <w:color w:val="000000" w:themeColor="text1"/>
          <w:sz w:val="18"/>
          <w:szCs w:val="18"/>
        </w:rPr>
        <w:t>認購權證</w:t>
      </w:r>
      <w:r w:rsidRPr="006675C9">
        <w:rPr>
          <w:rFonts w:ascii="Arial" w:eastAsia="標楷體" w:hAnsi="標楷體" w:cs="Arial"/>
          <w:color w:val="000000" w:themeColor="text1"/>
          <w:sz w:val="18"/>
          <w:szCs w:val="18"/>
        </w:rPr>
        <w:t>共發行</w:t>
      </w:r>
      <w:proofErr w:type="spellStart"/>
      <w:proofErr w:type="spellEnd"/>
      <w:r>
        <w:rPr>
          <w:rFonts w:ascii="Arial" w:eastAsia="標楷體" w:hAnsi="標楷體" w:cs="Arial" w:hint="eastAsia"/>
          <w:color w:val="000000" w:themeColor="text1"/>
          <w:sz w:val="18"/>
          <w:szCs w:val="18"/>
        </w:rPr>
        <w:t>5,000,000</w:t>
      </w:r>
      <w:r w:rsidR="00F45FE2" w:rsidRPr="006675C9">
        <w:rPr>
          <w:rFonts w:ascii="Arial" w:eastAsia="標楷體" w:hAnsi="Arial" w:cs="Arial"/>
          <w:b/>
          <w:bCs/>
          <w:color w:val="000000" w:themeColor="text1"/>
          <w:sz w:val="18"/>
          <w:szCs w:val="18"/>
        </w:rPr>
        <w:t xml:space="preserve"> </w:t>
      </w:r>
      <w:r w:rsidRPr="006675C9">
        <w:rPr>
          <w:rFonts w:ascii="Arial" w:eastAsia="標楷體" w:hAnsi="標楷體" w:cs="Arial"/>
          <w:color w:val="000000" w:themeColor="text1"/>
          <w:sz w:val="18"/>
          <w:szCs w:val="18"/>
        </w:rPr>
        <w:t>單位</w:t>
      </w:r>
      <w:r w:rsidRPr="006675C9">
        <w:rPr>
          <w:rFonts w:ascii="Arial" w:eastAsia="標楷體" w:hAnsi="Arial" w:cs="Arial"/>
          <w:color w:val="000000" w:themeColor="text1"/>
          <w:sz w:val="18"/>
          <w:szCs w:val="18"/>
        </w:rPr>
        <w:t xml:space="preserve"> </w:t>
      </w:r>
    </w:p>
    <w:p w14:paraId="6E69DC6B" w14:textId="77777777" w:rsidR="004E7743" w:rsidRPr="006675C9" w:rsidRDefault="004E7743" w:rsidP="00886D70">
      <w:pPr>
        <w:numPr>
          <w:ilvl w:val="0"/>
          <w:numId w:val="3"/>
        </w:numPr>
        <w:tabs>
          <w:tab w:val="clear" w:pos="482"/>
          <w:tab w:val="num" w:pos="360"/>
        </w:tabs>
        <w:snapToGrid w:val="0"/>
        <w:spacing w:line="200" w:lineRule="exact"/>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發</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行</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金</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額</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w:t>
      </w:r>
      <w:r w:rsidRPr="006675C9">
        <w:rPr>
          <w:rFonts w:ascii="Arial" w:eastAsia="標楷體" w:hAnsi="標楷體" w:cs="Arial"/>
          <w:color w:val="000000" w:themeColor="text1"/>
          <w:sz w:val="18"/>
          <w:szCs w:val="18"/>
        </w:rPr>
        <w:t>新台幣</w:t>
      </w:r>
      <w:proofErr w:type="spellStart"/>
      <w:proofErr w:type="spellEnd"/>
      <w:r>
        <w:rPr>
          <w:rFonts w:ascii="Arial" w:eastAsia="標楷體" w:hAnsi="標楷體" w:cs="Arial" w:hint="eastAsia"/>
          <w:color w:val="000000" w:themeColor="text1"/>
          <w:sz w:val="18"/>
          <w:szCs w:val="18"/>
        </w:rPr>
        <w:t>6,300,000</w:t>
      </w:r>
      <w:r w:rsidR="00F45FE2" w:rsidRPr="006675C9">
        <w:rPr>
          <w:rFonts w:ascii="Arial" w:eastAsia="標楷體" w:hAnsi="Arial" w:cs="Arial"/>
          <w:b/>
          <w:bCs/>
          <w:color w:val="000000" w:themeColor="text1"/>
          <w:sz w:val="18"/>
          <w:szCs w:val="18"/>
        </w:rPr>
        <w:t xml:space="preserve"> </w:t>
      </w:r>
      <w:r w:rsidRPr="006675C9">
        <w:rPr>
          <w:rFonts w:ascii="Arial" w:eastAsia="標楷體" w:hAnsi="標楷體" w:cs="Arial"/>
          <w:color w:val="000000" w:themeColor="text1"/>
          <w:sz w:val="18"/>
          <w:szCs w:val="18"/>
        </w:rPr>
        <w:t>元。</w:t>
      </w:r>
    </w:p>
    <w:p w14:paraId="6E39E1AA" w14:textId="77777777" w:rsidR="004E7743" w:rsidRPr="006675C9" w:rsidRDefault="004E7743" w:rsidP="00886D70">
      <w:pPr>
        <w:numPr>
          <w:ilvl w:val="0"/>
          <w:numId w:val="3"/>
        </w:numPr>
        <w:tabs>
          <w:tab w:val="clear" w:pos="482"/>
          <w:tab w:val="left" w:pos="360"/>
        </w:tabs>
        <w:snapToGrid w:val="0"/>
        <w:spacing w:line="200" w:lineRule="exact"/>
        <w:ind w:left="1796" w:hanging="1796"/>
        <w:jc w:val="both"/>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發</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行</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條</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件</w:t>
      </w:r>
      <w:r w:rsidRPr="006675C9">
        <w:rPr>
          <w:rFonts w:ascii="Arial" w:eastAsia="標楷體" w:hAnsi="Arial" w:cs="Arial"/>
          <w:b/>
          <w:color w:val="000000" w:themeColor="text1"/>
          <w:sz w:val="18"/>
          <w:szCs w:val="18"/>
        </w:rPr>
        <w:t xml:space="preserve"> </w:t>
      </w:r>
      <w:r w:rsidRPr="006675C9">
        <w:rPr>
          <w:rFonts w:ascii="Arial" w:eastAsia="標楷體" w:hAnsi="標楷體" w:cs="Arial"/>
          <w:b/>
          <w:color w:val="000000" w:themeColor="text1"/>
          <w:sz w:val="18"/>
          <w:szCs w:val="18"/>
        </w:rPr>
        <w:t>：</w:t>
      </w:r>
    </w:p>
    <w:p w14:paraId="3D932D12" w14:textId="7BE4782D" w:rsidR="004E7743" w:rsidRPr="006675C9" w:rsidRDefault="004E7743" w:rsidP="00886D70">
      <w:pPr>
        <w:numPr>
          <w:ilvl w:val="0"/>
          <w:numId w:val="2"/>
        </w:numPr>
        <w:tabs>
          <w:tab w:val="clear" w:pos="1640"/>
        </w:tabs>
        <w:snapToGrid w:val="0"/>
        <w:spacing w:line="200" w:lineRule="exact"/>
        <w:ind w:left="480" w:hanging="36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每單位發行價格：新台幣</w:t>
      </w:r>
      <w:proofErr w:type="spellStart"/>
      <w:proofErr w:type="spellEnd"/>
      <w:r>
        <w:rPr>
          <w:rFonts w:ascii="Arial" w:eastAsia="標楷體" w:hAnsi="標楷體" w:cs="Arial" w:hint="eastAsia"/>
          <w:color w:val="000000" w:themeColor="text1"/>
          <w:sz w:val="18"/>
          <w:szCs w:val="18"/>
        </w:rPr>
        <w:t>1.26</w:t>
      </w:r>
      <w:r w:rsidRPr="006675C9">
        <w:rPr>
          <w:rFonts w:ascii="Arial" w:eastAsia="標楷體" w:hAnsi="標楷體" w:cs="Arial"/>
          <w:color w:val="000000" w:themeColor="text1"/>
          <w:sz w:val="18"/>
          <w:szCs w:val="18"/>
        </w:rPr>
        <w:t>元</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發行日前一營業日標的證券收盤價之</w:t>
      </w:r>
      <w:proofErr w:type="spellStart"/>
      <w:proofErr w:type="spellEnd"/>
      <w:r>
        <w:rPr>
          <w:rFonts w:ascii="Arial" w:eastAsia="標楷體" w:hAnsi="Arial" w:cs="Arial" w:hint="eastAsia"/>
          <w:b/>
          <w:bCs/>
          <w:color w:val="000000" w:themeColor="text1"/>
          <w:sz w:val="18"/>
          <w:szCs w:val="18"/>
        </w:rPr>
        <w:t>0.184480</w:t>
      </w:r>
      <w:r w:rsidR="00D26334" w:rsidRPr="006675C9">
        <w:rPr>
          <w:rFonts w:ascii="Arial" w:eastAsia="標楷體" w:hAnsi="Arial" w:cs="Arial"/>
          <w:b/>
          <w:bCs/>
          <w:color w:val="000000" w:themeColor="text1"/>
          <w:sz w:val="18"/>
          <w:szCs w:val="18"/>
        </w:rPr>
        <w:t>%</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w:t>
      </w:r>
    </w:p>
    <w:p w14:paraId="5234DE2F" w14:textId="77777777" w:rsidR="00D94DFF" w:rsidRDefault="004E7743" w:rsidP="006675C9">
      <w:pPr>
        <w:snapToGrid w:val="0"/>
        <w:spacing w:line="200" w:lineRule="exact"/>
        <w:ind w:leftChars="200" w:left="556" w:hangingChars="42" w:hanging="76"/>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價格計算說明：</w:t>
      </w:r>
    </w:p>
    <w:p w14:paraId="513C9853" w14:textId="77777777" w:rsidR="00CC43D2" w:rsidRDefault="00CC43D2" w:rsidP="00CC43D2">
      <w:pPr>
        <w:snapToGrid w:val="0"/>
        <w:spacing w:line="200" w:lineRule="exact"/>
        <w:ind w:leftChars="200" w:left="556" w:hangingChars="42" w:hanging="76"/>
        <w:jc w:val="both"/>
        <w:rPr>
          <w:rFonts w:ascii="Arial" w:eastAsia="標楷體" w:hAnsi="標楷體" w:cs="Arial"/>
          <w:color w:val="000000" w:themeColor="text1"/>
          <w:sz w:val="18"/>
          <w:szCs w:val="18"/>
        </w:rPr>
      </w:pPr>
      <w:r w:rsidRPr="00CC43D2">
        <w:rPr>
          <w:rFonts w:ascii="Arial" w:eastAsia="標楷體" w:hAnsi="標楷體" w:cs="Arial" w:hint="eastAsia"/>
          <w:color w:val="000000" w:themeColor="text1"/>
          <w:sz w:val="18"/>
          <w:szCs w:val="18"/>
        </w:rPr>
        <w:t>評價模型：本公司採用</w:t>
      </w:r>
      <w:r w:rsidRPr="00CC43D2">
        <w:rPr>
          <w:rFonts w:ascii="Arial" w:eastAsia="標楷體" w:hAnsi="標楷體" w:cs="Arial" w:hint="eastAsia"/>
          <w:color w:val="000000" w:themeColor="text1"/>
          <w:sz w:val="18"/>
          <w:szCs w:val="18"/>
        </w:rPr>
        <w:t xml:space="preserve"> Black &amp; Scholes </w:t>
      </w:r>
      <w:r w:rsidRPr="00CC43D2">
        <w:rPr>
          <w:rFonts w:ascii="Arial" w:eastAsia="標楷體" w:hAnsi="標楷體" w:cs="Arial" w:hint="eastAsia"/>
          <w:color w:val="000000" w:themeColor="text1"/>
          <w:sz w:val="18"/>
          <w:szCs w:val="18"/>
        </w:rPr>
        <w:t>評價模型，</w:t>
      </w:r>
      <w:r w:rsidR="00510604" w:rsidRPr="00510604">
        <w:rPr>
          <w:rFonts w:ascii="Arial" w:eastAsia="標楷體" w:hAnsi="標楷體" w:cs="Arial" w:hint="eastAsia"/>
          <w:color w:val="000000" w:themeColor="text1"/>
          <w:sz w:val="18"/>
          <w:szCs w:val="18"/>
        </w:rPr>
        <w:t>除農曆年假封關期間外，權證時間價值將依交易日遞減。</w:t>
      </w:r>
    </w:p>
    <w:p w14:paraId="1CAC8D88" w14:textId="77777777" w:rsidR="00CC43D2" w:rsidRPr="00CC43D2" w:rsidRDefault="00CC43D2" w:rsidP="006675C9">
      <w:pPr>
        <w:snapToGrid w:val="0"/>
        <w:spacing w:line="200" w:lineRule="exact"/>
        <w:ind w:leftChars="200" w:left="556" w:hangingChars="42" w:hanging="76"/>
        <w:jc w:val="both"/>
        <w:rPr>
          <w:rFonts w:ascii="Arial" w:eastAsia="標楷體" w:hAnsi="Arial" w:cs="Arial"/>
          <w:color w:val="000000" w:themeColor="text1"/>
          <w:sz w:val="18"/>
          <w:szCs w:val="18"/>
        </w:rPr>
      </w:pPr>
    </w:p>
    <w:tbl>
      <w:tblPr>
        <w:tblW w:w="0" w:type="auto"/>
        <w:tblInd w:w="1080" w:type="dxa"/>
        <w:tblLayout w:type="fixed"/>
        <w:tblCellMar>
          <w:left w:w="28" w:type="dxa"/>
          <w:right w:w="28" w:type="dxa"/>
        </w:tblCellMar>
        <w:tblLook w:val="0000" w:firstRow="0" w:lastRow="0" w:firstColumn="0" w:lastColumn="0" w:noHBand="0" w:noVBand="0"/>
      </w:tblPr>
      <w:tblGrid>
        <w:gridCol w:w="1135"/>
        <w:gridCol w:w="1135"/>
        <w:gridCol w:w="1136"/>
        <w:gridCol w:w="1135"/>
        <w:gridCol w:w="1136"/>
        <w:gridCol w:w="1135"/>
        <w:gridCol w:w="1136"/>
      </w:tblGrid>
      <w:tr w:rsidR="00D26334" w:rsidRPr="00DE4DE6" w14:paraId="09387480" w14:textId="77777777" w:rsidTr="00ED233B">
        <w:trPr>
          <w:trHeight w:val="170"/>
        </w:trPr>
        <w:tc>
          <w:tcPr>
            <w:tcW w:w="1135" w:type="dxa"/>
            <w:tcBorders>
              <w:top w:val="single" w:sz="6" w:space="0" w:color="auto"/>
              <w:left w:val="single" w:sz="6" w:space="0" w:color="auto"/>
              <w:bottom w:val="single" w:sz="6" w:space="0" w:color="auto"/>
              <w:right w:val="single" w:sz="6" w:space="0" w:color="auto"/>
            </w:tcBorders>
          </w:tcPr>
          <w:p w14:paraId="22BE6B08"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權證名稱</w:t>
            </w:r>
          </w:p>
        </w:tc>
        <w:tc>
          <w:tcPr>
            <w:tcW w:w="1135" w:type="dxa"/>
            <w:tcBorders>
              <w:top w:val="single" w:sz="6" w:space="0" w:color="auto"/>
              <w:left w:val="single" w:sz="6" w:space="0" w:color="auto"/>
              <w:bottom w:val="single" w:sz="6" w:space="0" w:color="auto"/>
              <w:right w:val="single" w:sz="6" w:space="0" w:color="auto"/>
            </w:tcBorders>
          </w:tcPr>
          <w:p w14:paraId="7E1CD676"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發行日</w:t>
            </w:r>
          </w:p>
        </w:tc>
        <w:tc>
          <w:tcPr>
            <w:tcW w:w="1136" w:type="dxa"/>
            <w:tcBorders>
              <w:top w:val="single" w:sz="6" w:space="0" w:color="auto"/>
              <w:left w:val="single" w:sz="6" w:space="0" w:color="auto"/>
              <w:bottom w:val="single" w:sz="6" w:space="0" w:color="auto"/>
              <w:right w:val="single" w:sz="6" w:space="0" w:color="auto"/>
            </w:tcBorders>
          </w:tcPr>
          <w:p w14:paraId="335C74CA"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存續期間</w:t>
            </w:r>
          </w:p>
        </w:tc>
        <w:tc>
          <w:tcPr>
            <w:tcW w:w="1135" w:type="dxa"/>
            <w:tcBorders>
              <w:top w:val="single" w:sz="6" w:space="0" w:color="auto"/>
              <w:left w:val="single" w:sz="6" w:space="0" w:color="auto"/>
              <w:bottom w:val="single" w:sz="6" w:space="0" w:color="auto"/>
              <w:right w:val="single" w:sz="6" w:space="0" w:color="auto"/>
            </w:tcBorders>
          </w:tcPr>
          <w:p w14:paraId="7CF93009"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標的證券價格</w:t>
            </w:r>
          </w:p>
        </w:tc>
        <w:tc>
          <w:tcPr>
            <w:tcW w:w="1136" w:type="dxa"/>
            <w:tcBorders>
              <w:top w:val="single" w:sz="6" w:space="0" w:color="auto"/>
              <w:left w:val="single" w:sz="6" w:space="0" w:color="auto"/>
              <w:bottom w:val="single" w:sz="6" w:space="0" w:color="auto"/>
              <w:right w:val="single" w:sz="6" w:space="0" w:color="auto"/>
            </w:tcBorders>
          </w:tcPr>
          <w:p w14:paraId="7EB4D47C"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原始履約價格</w:t>
            </w:r>
          </w:p>
        </w:tc>
        <w:tc>
          <w:tcPr>
            <w:tcW w:w="1135" w:type="dxa"/>
            <w:tcBorders>
              <w:top w:val="single" w:sz="6" w:space="0" w:color="auto"/>
              <w:left w:val="single" w:sz="6" w:space="0" w:color="auto"/>
              <w:bottom w:val="single" w:sz="6" w:space="0" w:color="auto"/>
              <w:right w:val="single" w:sz="6" w:space="0" w:color="auto"/>
            </w:tcBorders>
          </w:tcPr>
          <w:p w14:paraId="7A4885C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定價波動率</w:t>
            </w:r>
          </w:p>
        </w:tc>
        <w:tc>
          <w:tcPr>
            <w:tcW w:w="1136" w:type="dxa"/>
            <w:tcBorders>
              <w:top w:val="single" w:sz="6" w:space="0" w:color="auto"/>
              <w:left w:val="single" w:sz="6" w:space="0" w:color="auto"/>
              <w:bottom w:val="single" w:sz="6" w:space="0" w:color="auto"/>
              <w:right w:val="single" w:sz="6" w:space="0" w:color="auto"/>
            </w:tcBorders>
          </w:tcPr>
          <w:p w14:paraId="4B409F9F"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000000"/>
                <w:kern w:val="2"/>
                <w:sz w:val="14"/>
                <w:szCs w:val="14"/>
              </w:rPr>
            </w:pPr>
            <w:r w:rsidRPr="00DE4DE6">
              <w:rPr>
                <w:rFonts w:ascii="Arial" w:eastAsia="標楷體" w:hAnsi="標楷體" w:cs="Arial" w:hint="eastAsia"/>
                <w:b/>
                <w:bCs/>
                <w:color w:val="000000"/>
                <w:kern w:val="2"/>
                <w:sz w:val="14"/>
                <w:szCs w:val="14"/>
              </w:rPr>
              <w:t>利率</w:t>
            </w:r>
          </w:p>
        </w:tc>
      </w:tr>
      <w:tr w:rsidR="00D26334" w:rsidRPr="00DE4DE6" w14:paraId="17F432C4" w14:textId="77777777" w:rsidTr="00ED233B">
        <w:trPr>
          <w:trHeight w:val="131"/>
        </w:trP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聖暉*國泰56購01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114/11/14</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683.00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72.627%</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聖暉*中信51購01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114/07/14</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499.00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77.000%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聖暉*中信53購01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735.00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聖暉*中信53購02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953.00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聖暉*元大4B購01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114/01/14</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392.00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聖暉*元大4C購01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114/01/16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394.50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465.00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聖暉*元大4C購02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114/01/17</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411.50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聖暉*元大51購01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114/01/09</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390.00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575.00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聖暉*元大51購02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504.00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聖暉*元大51購03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114/07/23</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507.00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607.00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61.000%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聖暉*元大52購01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114/08/04</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492.00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702.00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聖暉*元大53購01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114/08/11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587.00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880.50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聖暉*元大53購02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聖暉*元大53購03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735.00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聖暉*元大53購04</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114/08/27</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901.00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76.000%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聖暉*元大53購05</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114/09/26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772.00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926.00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87.000%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聖暉*元大54購01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114/08/29</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826.00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1230.00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聖暉*元大54購02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892.00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聖暉*元大54購03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1460.00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聖暉*元大54購04</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1075.00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聖暉*元大54購05</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953.00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1380.00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聖暉*元大54購06</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953.00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1155.00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聖暉*元大54購07</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904.00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1115.00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聖暉*元大54購08</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846.00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951.00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91.000%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聖暉*元大54購09</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846.00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1040.00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91.000%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聖暉*元大54購10</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976.00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86.000%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聖暉*元大55購01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114/11/07</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754.00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799.00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聖暉*元大55購02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114/11/12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641.00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879.00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86.000%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聖暉*元大55購03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114/11/12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641.00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958.00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86.000%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聖暉*元大56購01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114/10/17</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875.00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83.000%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聖暉*元富51購01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114/01/07</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381.50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聖暉*元富51購02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114/07/23</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507.00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聖暉*元富52購01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聖暉*元富53售02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953.00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聖暉*元富53購01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953.00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聖暉*元富53購03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114/09/18</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779.00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聖暉*永豐52購01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888.00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聖暉*永豐53售03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聖暉*永豐53購01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114/06/26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427.50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499.00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聖暉*永豐53購02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504.00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63.000%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聖暉*永豐53購04</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1471.50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聖暉*永豐54購01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892.00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1338.00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聖暉*永豐54購02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114/10/09</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846.00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聖暉*永豐55購01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114/11/03</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770.00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聖暉*永豐57購01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114/10/13</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837.00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76.000%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聖暉*永豐5A購01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114/10/16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1115.00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聖暉*兆豐56購01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114/10/09</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846.00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958.00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聖暉*兆豐56購02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114/10/16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1089.00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聖暉*國泰52購01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504.00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565.00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聖暉*國泰53購01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845.00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聖暉*國泰54購01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1080.00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1.01%</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聖暉*國票4B售01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114/04/25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384.50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320.00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聖暉*國票51購01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114/06/09</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399.50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480.00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聖暉*國票51購02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114/06/17</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385.00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420.00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聖暉*國票51購03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409.00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聖暉*國票52售05</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504.00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67.000%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聖暉*國票52購01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114/07/07</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402.00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540.00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57.000%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聖暉*國票52購02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114/07/10</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470.00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聖暉*國票52購03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504.00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聖暉*國票52購04</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504.00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640.00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聖暉*國票53購01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114/08/11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587.00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聖暉*國票53購02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68.000%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聖暉*國票53購03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114/08/28</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826.00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聖暉*國票54售01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聖暉*國票54售02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聖暉*國票54購03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聖暉*國票55購01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114/10/17</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875.00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聖暉*國票56購01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聖暉*第一55購01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892.00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1338.00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3.00%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聖暉*統一52購01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114/01/22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450.00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588.88</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聖暉*統一54購01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113/12/09</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348.50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499.99</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93.000%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聖暉*統一56購01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409.00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511.11</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聖暉*統一57購01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482.00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666.66</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聖暉*統一58購01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114/02/03</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455.00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666.66</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聖暉*統一58購02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735.00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1101.11</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101.000%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聖暉*統一59購01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聖暉*統一5A購02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888.88</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聖暉*統一64購01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20個月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1111.11</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109.000%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聖暉*統一6A購01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114/10/03</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24個月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101.000%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聖暉*統一6A購02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114/10/16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24個月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1314.15</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2.50%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聖暉*凱基4C售02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114/06/19</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387.50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315.00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聖暉*凱基4C購01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114/01/17</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411.50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460.00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58.000%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聖暉*凱基51購01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114/06/05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402.50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聖暉*凱基51購02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114/06/24</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409.00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520.00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56.000%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聖暉*凱基51購03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114/07/23</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507.00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760.00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聖暉*凱基52購01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114/07/09</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434.00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聖暉*凱基53購01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114/08/12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880.00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聖暉*凱基53購02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聖暉*凱基53購03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聖暉*凱基53購04</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114/08/28</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826.00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1235.00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聖暉*凱基53購05</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953.00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聖暉*凱基54售02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114/08/29</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826.00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聖暉*凱基54售03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聖暉*凱基54購01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114/07/10</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470.00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聖暉*凱基54購04</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1470.00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聖暉*凱基54購05</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114/10/20</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828.00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聖暉*凱基54購06</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114/10/28</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723.00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聖暉*凱基55購01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892.00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1335.00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聖暉*凱基56購01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聖暉*凱基56購02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聖暉*凱基56購03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聖暉*富邦51購01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114/07/07</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402.00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聖暉*富邦51購02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504.00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聖暉*富邦53購01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941.00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聖暉*富邦53購02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114/09/19</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796.00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940.00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聖暉*富邦54購01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114/09/26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772.00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1030.00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71.000%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聖暉*群益4C購01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114/06/06</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400.00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480.00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聖暉*群益4C購02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114/06/25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416.00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64.000%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聖暉*群益51購01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114/07/10</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470.00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690.00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聖暉*群益51購02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114/07/23</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507.00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540.00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53.000%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聖暉*群益52購01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114/07/11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482.00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630.00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聖暉*群益52購02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990.00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聖暉*群益53購01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114/07/24</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494.50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741.00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聖暉*群益53購02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114/08/25</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749.00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1120.00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聖暉*群益54購01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114/08/13</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612.00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55.000%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聖暉*群益54購02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941.00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1188.00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73.000%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聖暉*群益54購03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114/10/08</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822.00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940.00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84.000%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聖暉*群益55售03</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600.00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72.000%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聖暉*群益55售05</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941.00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640.00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77.000%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聖暉*群益55購01</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114/08/29</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826.00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1235.00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70.000%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聖暉*群益55購02</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114/09/02</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981.00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1470.00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77.000%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r>
        <w:tc>
          <w:tcPr>
            <w:tcW w:w="1135" w:type="dxa"/>
            <w:tcBorders>
              <w:top w:val="single" w:sz="6" w:space="0" w:color="auto"/>
              <w:left w:val="single" w:sz="6" w:space="0" w:color="auto"/>
              <w:bottom w:val="single" w:sz="6" w:space="0" w:color="auto"/>
              <w:right w:val="single" w:sz="6" w:space="0" w:color="auto"/>
            </w:tcBorders>
          </w:tcPr>
          <w:p w14:paraId="55DA0EE4" w14:textId="77777777" w:rsidR="00D26334" w:rsidRPr="00DE4DE6" w:rsidRDefault="00D26334" w:rsidP="00ED233B">
            <w:pPr>
              <w:autoSpaceDE w:val="0"/>
              <w:autoSpaceDN w:val="0"/>
              <w:adjustRightInd/>
              <w:spacing w:line="140" w:lineRule="exact"/>
              <w:jc w:val="center"/>
              <w:textAlignment w:val="auto"/>
              <w:rPr>
                <w:rFonts w:ascii="Arial" w:eastAsia="標楷體" w:hAnsi="標楷體" w:cs="Arial"/>
                <w:b/>
                <w:bCs/>
                <w:color w:val="FF0000"/>
                <w:kern w:val="2"/>
                <w:sz w:val="14"/>
                <w:szCs w:val="14"/>
              </w:rPr>
            </w:pPr>
            <w:r>
              <w:rPr>
                <w:lang w:val="zh-TW"/>
                <w:rFonts w:ascii="標楷體" w:hAnsi="標楷體" w:cs="標楷體" w:eastAsia="標楷體"/>
                <w:sz w:val="12"/>
                <w:szCs w:val="12"/>
              </w:rPr>
              <w:t>聖暉*群益55購04</w:t>
            </w:r>
          </w:p>
        </w:tc>
        <w:tc>
          <w:tcPr>
            <w:tcW w:w="1135" w:type="dxa"/>
            <w:tcBorders>
              <w:top w:val="single" w:sz="6" w:space="0" w:color="auto"/>
              <w:left w:val="single" w:sz="6" w:space="0" w:color="auto"/>
              <w:bottom w:val="single" w:sz="6" w:space="0" w:color="auto"/>
              <w:right w:val="single" w:sz="6" w:space="0" w:color="auto"/>
            </w:tcBorders>
          </w:tcPr>
          <w:p w14:paraId="297A2A1B"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114/09/11</w:t>
            </w:r>
          </w:p>
        </w:tc>
        <w:tc>
          <w:tcPr>
            <w:tcW w:w="1136" w:type="dxa"/>
            <w:tcBorders>
              <w:top w:val="single" w:sz="6" w:space="0" w:color="auto"/>
              <w:left w:val="single" w:sz="6" w:space="0" w:color="auto"/>
              <w:bottom w:val="single" w:sz="6" w:space="0" w:color="auto"/>
              <w:right w:val="single" w:sz="6" w:space="0" w:color="auto"/>
            </w:tcBorders>
          </w:tcPr>
          <w:p w14:paraId="4EAE0927"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8個月</w:t>
            </w:r>
          </w:p>
        </w:tc>
        <w:tc>
          <w:tcPr>
            <w:tcW w:w="1135" w:type="dxa"/>
            <w:tcBorders>
              <w:top w:val="single" w:sz="6" w:space="0" w:color="auto"/>
              <w:left w:val="single" w:sz="6" w:space="0" w:color="auto"/>
              <w:bottom w:val="single" w:sz="6" w:space="0" w:color="auto"/>
              <w:right w:val="single" w:sz="6" w:space="0" w:color="auto"/>
            </w:tcBorders>
          </w:tcPr>
          <w:p w14:paraId="05A1F19E"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953.00</w:t>
            </w:r>
          </w:p>
        </w:tc>
        <w:tc>
          <w:tcPr>
            <w:tcW w:w="1136" w:type="dxa"/>
            <w:tcBorders>
              <w:top w:val="single" w:sz="6" w:space="0" w:color="auto"/>
              <w:left w:val="single" w:sz="6" w:space="0" w:color="auto"/>
              <w:bottom w:val="single" w:sz="6" w:space="0" w:color="auto"/>
              <w:right w:val="single" w:sz="6" w:space="0" w:color="auto"/>
            </w:tcBorders>
          </w:tcPr>
          <w:p w14:paraId="30BEE2B6"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1350.00</w:t>
            </w:r>
          </w:p>
        </w:tc>
        <w:tc>
          <w:tcPr>
            <w:tcW w:w="1135" w:type="dxa"/>
            <w:tcBorders>
              <w:top w:val="single" w:sz="6" w:space="0" w:color="auto"/>
              <w:left w:val="single" w:sz="6" w:space="0" w:color="auto"/>
              <w:bottom w:val="single" w:sz="6" w:space="0" w:color="auto"/>
              <w:right w:val="single" w:sz="6" w:space="0" w:color="auto"/>
            </w:tcBorders>
          </w:tcPr>
          <w:p w14:paraId="260C2F51"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78.000%</w:t>
            </w:r>
          </w:p>
        </w:tc>
        <w:tc>
          <w:tcPr>
            <w:tcW w:w="1136" w:type="dxa"/>
            <w:tcBorders>
              <w:top w:val="single" w:sz="6" w:space="0" w:color="auto"/>
              <w:left w:val="single" w:sz="6" w:space="0" w:color="auto"/>
              <w:bottom w:val="single" w:sz="6" w:space="0" w:color="auto"/>
              <w:right w:val="single" w:sz="6" w:space="0" w:color="auto"/>
            </w:tcBorders>
          </w:tcPr>
          <w:p w14:paraId="3C80100A" w14:textId="77777777" w:rsidR="00D26334" w:rsidRPr="00DE4DE6" w:rsidRDefault="00D26334" w:rsidP="00ED233B">
            <w:pPr>
              <w:autoSpaceDE w:val="0"/>
              <w:autoSpaceDN w:val="0"/>
              <w:adjustRightInd/>
              <w:spacing w:line="140" w:lineRule="exact"/>
              <w:jc w:val="center"/>
              <w:textAlignment w:val="auto"/>
              <w:rPr>
                <w:rFonts w:ascii="Arial" w:eastAsia="標楷體" w:hAnsi="Arial" w:cs="Arial"/>
                <w:b/>
                <w:bCs/>
                <w:color w:val="FF0000"/>
                <w:kern w:val="2"/>
                <w:sz w:val="14"/>
                <w:szCs w:val="14"/>
              </w:rPr>
            </w:pPr>
            <w:r>
              <w:rPr>
                <w:lang w:val="zh-TW"/>
                <w:rFonts w:ascii="標楷體" w:hAnsi="標楷體" w:cs="標楷體" w:eastAsia="標楷體"/>
                <w:sz w:val="12"/>
                <w:szCs w:val="12"/>
              </w:rPr>
              <w:t>1.50%</w:t>
            </w:r>
          </w:p>
        </w:tc>
      </w:tr>
    </w:tbl>
    <w:p w14:paraId="0E4C4899" w14:textId="77777777" w:rsidR="00F45FE2" w:rsidRPr="00DE4DE6" w:rsidRDefault="00F45FE2" w:rsidP="00F45FE2">
      <w:pPr>
        <w:snapToGrid w:val="0"/>
        <w:spacing w:beforeLines="10" w:before="24" w:line="140" w:lineRule="exact"/>
        <w:ind w:leftChars="200" w:left="539" w:hangingChars="42" w:hanging="59"/>
        <w:jc w:val="both"/>
        <w:rPr>
          <w:sz w:val="14"/>
          <w:szCs w:val="14"/>
        </w:rPr>
      </w:pPr>
    </w:p>
    <w:p w14:paraId="1F89BC53" w14:textId="64A4AB14" w:rsidR="004E7743" w:rsidRPr="006675C9" w:rsidRDefault="004E7743" w:rsidP="006675C9">
      <w:pPr>
        <w:snapToGrid w:val="0"/>
        <w:spacing w:line="200" w:lineRule="exact"/>
        <w:ind w:leftChars="200" w:left="556" w:hangingChars="42" w:hanging="76"/>
        <w:jc w:val="both"/>
        <w:rPr>
          <w:rFonts w:ascii="Arial" w:eastAsia="標楷體" w:hAnsi="Arial" w:cs="Arial"/>
          <w:color w:val="000000" w:themeColor="text1"/>
          <w:sz w:val="18"/>
          <w:szCs w:val="18"/>
        </w:rPr>
      </w:pPr>
      <w:r w:rsidRPr="006675C9">
        <w:rPr>
          <w:rFonts w:ascii="Arial" w:eastAsia="標楷體" w:hAnsi="標楷體" w:cs="Arial"/>
          <w:sz w:val="18"/>
          <w:szCs w:val="18"/>
        </w:rPr>
        <w:t>每</w:t>
      </w:r>
      <w:r w:rsidRPr="006675C9">
        <w:rPr>
          <w:rFonts w:ascii="Arial" w:eastAsia="標楷體" w:hAnsi="標楷體" w:cs="Arial"/>
          <w:color w:val="000000" w:themeColor="text1"/>
          <w:sz w:val="18"/>
          <w:szCs w:val="18"/>
        </w:rPr>
        <w:t>單位原始履約價格：新台幣</w:t>
      </w:r>
      <w:proofErr w:type="spellStart"/>
      <w:proofErr w:type="spellEnd"/>
      <w:r>
        <w:rPr>
          <w:rFonts w:ascii="Arial" w:eastAsia="標楷體" w:hAnsi="Arial" w:cs="Arial" w:hint="eastAsia"/>
          <w:b/>
          <w:bCs/>
          <w:color w:val="000000" w:themeColor="text1"/>
          <w:sz w:val="18"/>
          <w:szCs w:val="18"/>
        </w:rPr>
        <w:t>750.00</w:t>
      </w:r>
      <w:r w:rsidR="00D26334" w:rsidRPr="006675C9">
        <w:rPr>
          <w:rFonts w:ascii="Arial" w:eastAsia="標楷體" w:hAnsi="Arial" w:cs="Arial"/>
          <w:b/>
          <w:bCs/>
          <w:color w:val="000000" w:themeColor="text1"/>
          <w:sz w:val="18"/>
          <w:szCs w:val="18"/>
        </w:rPr>
        <w:t xml:space="preserve"> </w:t>
      </w:r>
      <w:r w:rsidRPr="006675C9">
        <w:rPr>
          <w:rFonts w:ascii="Arial" w:eastAsia="標楷體" w:hAnsi="標楷體" w:cs="Arial"/>
          <w:color w:val="000000" w:themeColor="text1"/>
          <w:sz w:val="18"/>
          <w:szCs w:val="18"/>
        </w:rPr>
        <w:t>元</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發行日前一營業日標的證券收盤價之</w:t>
      </w:r>
      <w:r>
        <w:rPr>
          <w:rFonts w:ascii="Arial" w:eastAsia="標楷體" w:hAnsi="Arial" w:cs="Arial" w:hint="eastAsia"/>
          <w:b/>
          <w:bCs/>
          <w:color w:val="000000" w:themeColor="text1"/>
          <w:sz w:val="18"/>
          <w:szCs w:val="18"/>
        </w:rPr>
        <w:t>109.8097</w:t>
      </w:r>
      <w:r w:rsidR="00D26334" w:rsidRPr="006675C9">
        <w:rPr>
          <w:rFonts w:ascii="Arial" w:eastAsia="標楷體" w:hAnsi="Arial" w:cs="Arial"/>
          <w:b/>
          <w:bCs/>
          <w:color w:val="000000" w:themeColor="text1"/>
          <w:sz w:val="18"/>
          <w:szCs w:val="18"/>
        </w:rPr>
        <w:t>%</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w:t>
      </w:r>
    </w:p>
    <w:p w14:paraId="020A6C1C" w14:textId="77777777" w:rsidR="00A30F72" w:rsidRPr="006675C9" w:rsidRDefault="00A30F72" w:rsidP="006675C9">
      <w:pPr>
        <w:snapToGrid w:val="0"/>
        <w:spacing w:line="200" w:lineRule="exact"/>
        <w:jc w:val="both"/>
        <w:rPr>
          <w:rFonts w:ascii="Arial" w:eastAsia="標楷體" w:hAnsi="Arial" w:cs="Arial"/>
          <w:color w:val="000000" w:themeColor="text1"/>
          <w:sz w:val="18"/>
          <w:szCs w:val="18"/>
        </w:rPr>
      </w:pPr>
    </w:p>
    <w:p w14:paraId="64E22B3D" w14:textId="77777777" w:rsidR="00CB429E" w:rsidRPr="006675C9" w:rsidRDefault="004E7743" w:rsidP="006675C9">
      <w:pPr>
        <w:numPr>
          <w:ilvl w:val="0"/>
          <w:numId w:val="2"/>
        </w:numPr>
        <w:tabs>
          <w:tab w:val="clear" w:pos="1640"/>
        </w:tabs>
        <w:snapToGrid w:val="0"/>
        <w:spacing w:line="200" w:lineRule="exact"/>
        <w:ind w:left="480" w:hanging="36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履約價格重設條件：</w:t>
      </w:r>
    </w:p>
    <w:p w14:paraId="53A19E6D" w14:textId="77777777" w:rsidR="00CF5EE0" w:rsidRDefault="00D26334" w:rsidP="006675C9">
      <w:pPr>
        <w:snapToGrid w:val="0"/>
        <w:spacing w:line="200" w:lineRule="exact"/>
        <w:ind w:leftChars="200" w:left="556" w:hangingChars="42" w:hanging="76"/>
        <w:jc w:val="both"/>
        <w:rPr>
          <w:rFonts w:ascii="Arial" w:eastAsia="標楷體" w:hAnsi="標楷體" w:cs="Arial"/>
          <w:color w:val="000000" w:themeColor="text1"/>
          <w:sz w:val="18"/>
          <w:szCs w:val="18"/>
        </w:rPr>
      </w:pPr>
      <w:proofErr w:type="spellStart"/>
      <w:proofErr w:type="spellEnd"/>
      <w:r>
        <w:rPr>
          <w:rFonts w:ascii="Arial" w:eastAsia="標楷體" w:hAnsi="標楷體" w:cs="Arial" w:hint="eastAsia"/>
          <w:b/>
          <w:color w:val="000000" w:themeColor="text1"/>
          <w:sz w:val="18"/>
          <w:szCs w:val="18"/>
        </w:rPr>
        <w:t xml:space="preserve">    無</w:t>
      </w:r>
      <w:proofErr w:type="spellStart"/>
      <w:proofErr w:type="spellEnd"/>
      <w:proofErr w:type="spellStart"/>
      <w:proofErr w:type="spellEnd"/>
    </w:p>
    <w:p w14:paraId="7A478F37" w14:textId="77777777" w:rsidR="00C37B3F" w:rsidRPr="006675C9" w:rsidRDefault="00C37B3F" w:rsidP="006675C9">
      <w:pPr>
        <w:snapToGrid w:val="0"/>
        <w:spacing w:line="200" w:lineRule="exact"/>
        <w:ind w:leftChars="200" w:left="556" w:hangingChars="42" w:hanging="76"/>
        <w:jc w:val="both"/>
        <w:rPr>
          <w:rFonts w:ascii="Arial" w:eastAsia="標楷體" w:hAnsi="標楷體" w:cs="Arial"/>
          <w:color w:val="000000" w:themeColor="text1"/>
          <w:sz w:val="18"/>
          <w:szCs w:val="18"/>
        </w:rPr>
      </w:pPr>
    </w:p>
    <w:p w14:paraId="264E2618" w14:textId="77777777" w:rsidR="004E7743" w:rsidRPr="006675C9" w:rsidRDefault="004E7743" w:rsidP="006675C9">
      <w:pPr>
        <w:numPr>
          <w:ilvl w:val="0"/>
          <w:numId w:val="2"/>
        </w:numPr>
        <w:tabs>
          <w:tab w:val="clear" w:pos="1640"/>
        </w:tabs>
        <w:snapToGrid w:val="0"/>
        <w:spacing w:line="200" w:lineRule="exact"/>
        <w:ind w:left="480" w:hanging="36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行使比例：</w:t>
      </w:r>
      <w:r w:rsidRPr="006675C9">
        <w:rPr>
          <w:rFonts w:ascii="Arial" w:eastAsia="標楷體" w:hAnsi="標楷體" w:cs="Arial"/>
          <w:color w:val="000000" w:themeColor="text1"/>
          <w:sz w:val="18"/>
          <w:szCs w:val="18"/>
        </w:rPr>
        <w:t>1</w:t>
      </w:r>
      <w:r w:rsidRPr="006675C9">
        <w:rPr>
          <w:rFonts w:ascii="Arial" w:eastAsia="標楷體" w:hAnsi="標楷體" w:cs="Arial"/>
          <w:color w:val="000000" w:themeColor="text1"/>
          <w:sz w:val="18"/>
          <w:szCs w:val="18"/>
        </w:rPr>
        <w:t>：</w:t>
      </w:r>
      <w:proofErr w:type="spellStart"/>
      <w:proofErr w:type="spellEnd"/>
      <w:r>
        <w:rPr>
          <w:rFonts w:ascii="Arial" w:eastAsia="標楷體" w:hAnsi="Arial" w:cs="Arial" w:hint="eastAsia"/>
          <w:b/>
          <w:bCs/>
          <w:color w:val="000000" w:themeColor="text1"/>
          <w:sz w:val="18"/>
          <w:szCs w:val="18"/>
        </w:rPr>
        <w:t>0.01</w:t>
      </w:r>
      <w:r w:rsidRPr="006675C9">
        <w:rPr>
          <w:rFonts w:ascii="Arial" w:eastAsia="標楷體" w:hAnsi="標楷體" w:cs="Arial"/>
          <w:color w:val="000000" w:themeColor="text1"/>
          <w:sz w:val="18"/>
          <w:szCs w:val="18"/>
        </w:rPr>
        <w:t>；即每單位</w:t>
      </w:r>
      <w:r w:rsidR="00F45FE2" w:rsidRPr="006675C9">
        <w:rPr>
          <w:rFonts w:ascii="Arial" w:eastAsia="標楷體" w:hAnsi="標楷體" w:cs="Arial" w:hint="eastAsia"/>
          <w:color w:val="000000" w:themeColor="text1"/>
          <w:sz w:val="18"/>
          <w:szCs w:val="18"/>
        </w:rPr>
        <w:t>認購權證認購</w:t>
      </w:r>
      <w:r w:rsidRPr="006675C9">
        <w:rPr>
          <w:rFonts w:ascii="Arial" w:eastAsia="標楷體" w:hAnsi="標楷體" w:cs="Arial"/>
          <w:color w:val="000000" w:themeColor="text1"/>
          <w:sz w:val="18"/>
          <w:szCs w:val="18"/>
        </w:rPr>
        <w:t>標的</w:t>
      </w:r>
      <w:proofErr w:type="spellStart"/>
      <w:proofErr w:type="spellEnd"/>
      <w:r>
        <w:rPr>
          <w:rFonts w:ascii="Arial" w:eastAsia="標楷體" w:hAnsi="Arial" w:cs="Arial" w:hint="eastAsia"/>
          <w:b/>
          <w:bCs/>
          <w:color w:val="000000" w:themeColor="text1"/>
          <w:sz w:val="18"/>
          <w:szCs w:val="18"/>
        </w:rPr>
        <w:t>0.01</w:t>
      </w:r>
      <w:proofErr w:type="spellStart"/>
      <w:proofErr w:type="spellEnd"/>
      <w:r>
        <w:rPr>
          <w:rFonts w:ascii="標楷體" w:eastAsia="標楷體" w:hAnsi="標楷體" w:cs="Arial" w:hint="eastAsia"/>
          <w:color w:val="000000" w:themeColor="text1"/>
          <w:sz w:val="18"/>
          <w:szCs w:val="18"/>
        </w:rPr>
        <w:t>股</w:t>
      </w:r>
      <w:r w:rsidRPr="006675C9">
        <w:rPr>
          <w:rFonts w:ascii="Arial" w:eastAsia="標楷體" w:hAnsi="標楷體" w:cs="Arial"/>
          <w:color w:val="000000" w:themeColor="text1"/>
          <w:sz w:val="18"/>
          <w:szCs w:val="18"/>
        </w:rPr>
        <w:t>。</w:t>
      </w:r>
    </w:p>
    <w:p w14:paraId="1F183CF7" w14:textId="77777777" w:rsidR="00DF36CA" w:rsidRPr="006675C9" w:rsidRDefault="004E7743" w:rsidP="006675C9">
      <w:pPr>
        <w:numPr>
          <w:ilvl w:val="0"/>
          <w:numId w:val="2"/>
        </w:numPr>
        <w:tabs>
          <w:tab w:val="clear" w:pos="1640"/>
        </w:tabs>
        <w:snapToGrid w:val="0"/>
        <w:spacing w:line="200" w:lineRule="exact"/>
        <w:ind w:left="480" w:hanging="36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履約期間：</w:t>
      </w:r>
      <w:r w:rsidR="00F45FE2" w:rsidRPr="006675C9">
        <w:rPr>
          <w:rFonts w:ascii="Arial" w:eastAsia="標楷體" w:hAnsi="標楷體" w:cs="Arial" w:hint="eastAsia"/>
          <w:color w:val="000000" w:themeColor="text1"/>
          <w:sz w:val="18"/>
          <w:szCs w:val="18"/>
        </w:rPr>
        <w:t>自本認購權證掛牌上櫃日起至到期日止</w:t>
      </w:r>
    </w:p>
    <w:p w14:paraId="7FE785D3" w14:textId="458D2491" w:rsidR="00D26334" w:rsidRPr="006675C9" w:rsidRDefault="004E7743" w:rsidP="006675C9">
      <w:pPr>
        <w:numPr>
          <w:ilvl w:val="0"/>
          <w:numId w:val="2"/>
        </w:numPr>
        <w:tabs>
          <w:tab w:val="clear" w:pos="1640"/>
        </w:tabs>
        <w:snapToGrid w:val="0"/>
        <w:spacing w:line="200" w:lineRule="exact"/>
        <w:ind w:left="480" w:hanging="36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履約給付方式：</w:t>
      </w:r>
      <w:proofErr w:type="spellStart"/>
      <w:proofErr w:type="spellEnd"/>
      <w:r>
        <w:rPr>
          <w:rFonts w:ascii="標楷體" w:eastAsia="標楷體" w:cs="標楷體" w:hint="eastAsia"/>
          <w:b/>
          <w:bCs/>
          <w:color w:val="000000" w:themeColor="text1"/>
          <w:sz w:val="18"/>
          <w:szCs w:val="18"/>
        </w:rPr>
        <w:t>證券給付，惟發行人得選擇以現金結算，如到期具履約價值而未申請履約者，發行人將以權證到期日標的證券收盤前六十分鐘內成交價格之簡單算術平均價自動現金結算。(如發行人採現金結算，投資人除到期日外之存續期間申請履約時，以標的證券之收盤價格結算；如到期具履約價值而未申請履約者，發行人將以標的證券收盤前六十分鐘內成交價格之簡單算術平均價自動現金結算。如無成交者則以最近一次成交價格計算。)如有櫃買中心業務規則第三十五條第四項規定情事時，延緩時間內之成交價格應一併列入計算。</w:t>
      </w:r>
    </w:p>
    <w:p w14:paraId="7005F566" w14:textId="77777777" w:rsidR="004E7743" w:rsidRPr="006675C9" w:rsidRDefault="00095107" w:rsidP="006675C9">
      <w:pPr>
        <w:numPr>
          <w:ilvl w:val="0"/>
          <w:numId w:val="2"/>
        </w:numPr>
        <w:tabs>
          <w:tab w:val="clear" w:pos="1640"/>
        </w:tabs>
        <w:snapToGrid w:val="0"/>
        <w:spacing w:line="200" w:lineRule="exact"/>
        <w:ind w:left="480" w:hanging="36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本</w:t>
      </w:r>
      <w:r w:rsidR="004E7743" w:rsidRPr="006675C9">
        <w:rPr>
          <w:rFonts w:ascii="Arial" w:eastAsia="標楷體" w:hAnsi="標楷體" w:cs="Arial"/>
          <w:color w:val="000000" w:themeColor="text1"/>
          <w:sz w:val="18"/>
          <w:szCs w:val="18"/>
        </w:rPr>
        <w:t>次以</w:t>
      </w:r>
      <w:proofErr w:type="spellStart"/>
      <w:proofErr w:type="spellEnd"/>
      <w:r>
        <w:rPr>
          <w:rFonts w:ascii="Arial" w:eastAsia="標楷體" w:hAnsi="標楷體" w:cs="Arial" w:hint="eastAsia"/>
          <w:color w:val="000000" w:themeColor="text1"/>
          <w:sz w:val="18"/>
          <w:szCs w:val="18"/>
        </w:rPr>
        <w:t>聖暉工程科技股份有限公司普通股</w:t>
      </w:r>
      <w:r w:rsidR="004E7743" w:rsidRPr="006675C9">
        <w:rPr>
          <w:rFonts w:ascii="Arial" w:eastAsia="標楷體" w:hAnsi="標楷體" w:cs="Arial"/>
          <w:color w:val="000000" w:themeColor="text1"/>
          <w:sz w:val="18"/>
          <w:szCs w:val="18"/>
        </w:rPr>
        <w:t>為標的發行</w:t>
      </w:r>
      <w:r w:rsidR="00F45FE2" w:rsidRPr="006675C9">
        <w:rPr>
          <w:rFonts w:ascii="Arial" w:eastAsia="標楷體" w:hAnsi="標楷體" w:cs="Arial" w:hint="eastAsia"/>
          <w:bCs/>
          <w:color w:val="000000" w:themeColor="text1"/>
          <w:sz w:val="18"/>
          <w:szCs w:val="18"/>
        </w:rPr>
        <w:t>認購權證</w:t>
      </w:r>
      <w:r w:rsidR="004E7743" w:rsidRPr="006675C9">
        <w:rPr>
          <w:rFonts w:ascii="Arial" w:eastAsia="標楷體" w:hAnsi="標楷體" w:cs="Arial"/>
          <w:color w:val="000000" w:themeColor="text1"/>
          <w:sz w:val="18"/>
          <w:szCs w:val="18"/>
        </w:rPr>
        <w:t>之原因：</w:t>
      </w:r>
      <w:proofErr w:type="spellStart"/>
      <w:proofErr w:type="spellEnd"/>
      <w:r>
        <w:rPr>
          <w:rFonts w:ascii="Arial" w:eastAsia="標楷體" w:hAnsi="Arial" w:cs="Arial" w:hint="eastAsia"/>
          <w:color w:val="000000" w:themeColor="text1"/>
          <w:sz w:val="18"/>
          <w:szCs w:val="18"/>
        </w:rPr>
        <w:t>提供投資人股權槓桿工具。</w:t>
      </w:r>
    </w:p>
    <w:p w14:paraId="2FA42CBD" w14:textId="77777777" w:rsidR="004E7743" w:rsidRPr="006675C9" w:rsidRDefault="004E7743" w:rsidP="006675C9">
      <w:pPr>
        <w:numPr>
          <w:ilvl w:val="0"/>
          <w:numId w:val="2"/>
        </w:numPr>
        <w:tabs>
          <w:tab w:val="clear" w:pos="1640"/>
        </w:tabs>
        <w:snapToGrid w:val="0"/>
        <w:spacing w:line="200" w:lineRule="exact"/>
        <w:ind w:left="480" w:hanging="36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流動量提供者名稱：國泰綜合證券股份有限公司</w:t>
      </w:r>
    </w:p>
    <w:p w14:paraId="48550AAD" w14:textId="77777777" w:rsidR="004E7743" w:rsidRPr="006675C9" w:rsidRDefault="004E7743" w:rsidP="006675C9">
      <w:pPr>
        <w:snapToGrid w:val="0"/>
        <w:spacing w:line="200" w:lineRule="exact"/>
        <w:ind w:leftChars="200" w:left="579" w:hangingChars="55" w:hanging="99"/>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流動量提供者報價方式：主動報價。</w:t>
      </w:r>
    </w:p>
    <w:p w14:paraId="01877BA6" w14:textId="77777777" w:rsidR="004E7743" w:rsidRPr="006675C9" w:rsidRDefault="004E7743" w:rsidP="006675C9">
      <w:pPr>
        <w:spacing w:line="200" w:lineRule="exact"/>
        <w:ind w:leftChars="200" w:left="1426" w:hangingChars="525" w:hanging="946"/>
        <w:jc w:val="both"/>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主動報價：</w:t>
      </w:r>
    </w:p>
    <w:p w14:paraId="459F38E4" w14:textId="77777777" w:rsidR="004E7743" w:rsidRPr="006675C9" w:rsidRDefault="00A76B97" w:rsidP="00A76B97">
      <w:pPr>
        <w:spacing w:line="200" w:lineRule="exact"/>
        <w:ind w:leftChars="263" w:left="811" w:hangingChars="100" w:hanging="180"/>
        <w:jc w:val="both"/>
        <w:rPr>
          <w:rFonts w:ascii="Arial" w:eastAsia="標楷體" w:hAnsi="Arial" w:cs="Arial"/>
          <w:b/>
          <w:color w:val="000000" w:themeColor="text1"/>
          <w:sz w:val="18"/>
          <w:szCs w:val="18"/>
        </w:rPr>
      </w:pPr>
      <w:r>
        <w:rPr>
          <w:rFonts w:ascii="Arial" w:eastAsia="標楷體" w:hAnsi="標楷體" w:cs="Arial" w:hint="eastAsia"/>
          <w:color w:val="000000" w:themeColor="text1"/>
          <w:sz w:val="18"/>
          <w:szCs w:val="18"/>
        </w:rPr>
        <w:t>1.</w:t>
      </w:r>
      <w:r w:rsidR="004D60B6" w:rsidRPr="006675C9">
        <w:rPr>
          <w:rFonts w:ascii="Arial" w:eastAsia="標楷體" w:hAnsi="標楷體" w:cs="Arial"/>
          <w:color w:val="000000" w:themeColor="text1"/>
          <w:sz w:val="18"/>
          <w:szCs w:val="18"/>
        </w:rPr>
        <w:t>流動量提供者將於每隔</w:t>
      </w:r>
      <w:r w:rsidR="004D60B6" w:rsidRPr="006675C9">
        <w:rPr>
          <w:rFonts w:ascii="Arial" w:eastAsia="標楷體" w:hAnsi="Arial" w:cs="Arial"/>
          <w:color w:val="000000" w:themeColor="text1"/>
          <w:sz w:val="18"/>
          <w:szCs w:val="18"/>
        </w:rPr>
        <w:t>5</w:t>
      </w:r>
      <w:r w:rsidR="004E7743" w:rsidRPr="006675C9">
        <w:rPr>
          <w:rFonts w:ascii="Arial" w:eastAsia="標楷體" w:hAnsi="標楷體" w:cs="Arial"/>
          <w:color w:val="000000" w:themeColor="text1"/>
          <w:sz w:val="18"/>
          <w:szCs w:val="18"/>
        </w:rPr>
        <w:t>分鐘內至少報價</w:t>
      </w:r>
      <w:r w:rsidR="004D60B6" w:rsidRPr="006675C9">
        <w:rPr>
          <w:rFonts w:ascii="Arial" w:eastAsia="標楷體" w:hAnsi="Arial" w:cs="Arial"/>
          <w:color w:val="000000" w:themeColor="text1"/>
          <w:sz w:val="18"/>
          <w:szCs w:val="18"/>
        </w:rPr>
        <w:t>1</w:t>
      </w:r>
      <w:r w:rsidR="004E7743" w:rsidRPr="006675C9">
        <w:rPr>
          <w:rFonts w:ascii="Arial" w:eastAsia="標楷體" w:hAnsi="標楷體" w:cs="Arial"/>
          <w:color w:val="000000" w:themeColor="text1"/>
          <w:sz w:val="18"/>
          <w:szCs w:val="18"/>
        </w:rPr>
        <w:t>次，並維持此報價至少</w:t>
      </w:r>
      <w:r w:rsidR="004E7743" w:rsidRPr="006675C9">
        <w:rPr>
          <w:rFonts w:ascii="Arial" w:eastAsia="標楷體" w:hAnsi="Arial" w:cs="Arial"/>
          <w:color w:val="000000" w:themeColor="text1"/>
          <w:sz w:val="18"/>
          <w:szCs w:val="18"/>
        </w:rPr>
        <w:t>30</w:t>
      </w:r>
      <w:r w:rsidR="004E7743" w:rsidRPr="006675C9">
        <w:rPr>
          <w:rFonts w:ascii="Arial" w:eastAsia="標楷體" w:hAnsi="標楷體" w:cs="Arial"/>
          <w:color w:val="000000" w:themeColor="text1"/>
          <w:sz w:val="18"/>
          <w:szCs w:val="18"/>
        </w:rPr>
        <w:t>秒，</w:t>
      </w:r>
      <w:r w:rsidRPr="00A76B97">
        <w:rPr>
          <w:rFonts w:ascii="Arial" w:eastAsia="標楷體" w:hAnsi="標楷體" w:cs="Arial" w:hint="eastAsia"/>
          <w:color w:val="000000" w:themeColor="text1"/>
          <w:sz w:val="18"/>
          <w:szCs w:val="18"/>
        </w:rPr>
        <w:t>但因標的證券委託價格或數量變動而更新報價者</w:t>
      </w:r>
      <w:r w:rsidR="004E7743" w:rsidRPr="006675C9">
        <w:rPr>
          <w:rFonts w:ascii="Arial" w:eastAsia="標楷體" w:hAnsi="標楷體" w:cs="Arial"/>
          <w:color w:val="000000" w:themeColor="text1"/>
          <w:sz w:val="18"/>
          <w:szCs w:val="18"/>
        </w:rPr>
        <w:t>，則不受應維持</w:t>
      </w:r>
      <w:r w:rsidR="004E7743" w:rsidRPr="006675C9">
        <w:rPr>
          <w:rFonts w:ascii="Arial" w:eastAsia="標楷體" w:hAnsi="Arial" w:cs="Arial"/>
          <w:color w:val="000000" w:themeColor="text1"/>
          <w:sz w:val="18"/>
          <w:szCs w:val="18"/>
        </w:rPr>
        <w:t>30</w:t>
      </w:r>
      <w:r w:rsidR="004E7743" w:rsidRPr="006675C9">
        <w:rPr>
          <w:rFonts w:ascii="Arial" w:eastAsia="標楷體" w:hAnsi="標楷體" w:cs="Arial"/>
          <w:color w:val="000000" w:themeColor="text1"/>
          <w:sz w:val="18"/>
          <w:szCs w:val="18"/>
        </w:rPr>
        <w:t>秒之限制。</w:t>
      </w:r>
    </w:p>
    <w:p w14:paraId="08565567" w14:textId="77777777" w:rsidR="004E7743" w:rsidRPr="006675C9" w:rsidRDefault="00A76B97" w:rsidP="00A76B97">
      <w:pPr>
        <w:spacing w:line="200" w:lineRule="exact"/>
        <w:ind w:firstLineChars="350" w:firstLine="630"/>
        <w:jc w:val="both"/>
        <w:rPr>
          <w:rFonts w:ascii="Arial" w:eastAsia="標楷體" w:hAnsi="Arial" w:cs="Arial"/>
          <w:b/>
          <w:color w:val="000000" w:themeColor="text1"/>
          <w:sz w:val="18"/>
          <w:szCs w:val="18"/>
        </w:rPr>
      </w:pPr>
      <w:r>
        <w:rPr>
          <w:rFonts w:ascii="Arial" w:eastAsia="標楷體" w:hAnsi="標楷體" w:cs="Arial" w:hint="eastAsia"/>
          <w:color w:val="000000" w:themeColor="text1"/>
          <w:sz w:val="18"/>
          <w:szCs w:val="18"/>
        </w:rPr>
        <w:t>2.</w:t>
      </w:r>
      <w:r w:rsidR="004E7743" w:rsidRPr="006675C9">
        <w:rPr>
          <w:rFonts w:ascii="Arial" w:eastAsia="標楷體" w:hAnsi="標楷體" w:cs="Arial"/>
          <w:color w:val="000000" w:themeColor="text1"/>
          <w:sz w:val="18"/>
          <w:szCs w:val="18"/>
        </w:rPr>
        <w:t>最高申報買進價格與最低申報賣出價格間最大為</w:t>
      </w:r>
      <w:r w:rsidR="004E7743" w:rsidRPr="006675C9">
        <w:rPr>
          <w:rFonts w:ascii="Arial" w:eastAsia="標楷體" w:hAnsi="Arial" w:cs="Arial"/>
          <w:color w:val="000000" w:themeColor="text1"/>
          <w:sz w:val="18"/>
          <w:szCs w:val="18"/>
        </w:rPr>
        <w:t>1</w:t>
      </w:r>
      <w:r w:rsidR="004D60B6" w:rsidRPr="006675C9">
        <w:rPr>
          <w:rFonts w:ascii="Arial" w:eastAsia="標楷體" w:hAnsi="Arial" w:cs="Arial"/>
          <w:color w:val="000000" w:themeColor="text1"/>
          <w:sz w:val="18"/>
          <w:szCs w:val="18"/>
        </w:rPr>
        <w:t>0</w:t>
      </w:r>
      <w:r w:rsidR="004E7743" w:rsidRPr="006675C9">
        <w:rPr>
          <w:rFonts w:ascii="Arial" w:eastAsia="標楷體" w:hAnsi="標楷體" w:cs="Arial"/>
          <w:color w:val="000000" w:themeColor="text1"/>
          <w:sz w:val="18"/>
          <w:szCs w:val="18"/>
        </w:rPr>
        <w:t>個升降單位。</w:t>
      </w:r>
    </w:p>
    <w:p w14:paraId="731715CC" w14:textId="77777777" w:rsidR="00A76B97" w:rsidRDefault="00A76B97" w:rsidP="00A76B97">
      <w:pPr>
        <w:spacing w:line="200" w:lineRule="exact"/>
        <w:ind w:leftChars="263" w:left="631"/>
        <w:jc w:val="both"/>
        <w:rPr>
          <w:rFonts w:ascii="Arial" w:eastAsia="標楷體" w:hAnsi="標楷體" w:cs="Arial"/>
          <w:color w:val="000000" w:themeColor="text1"/>
          <w:sz w:val="18"/>
          <w:szCs w:val="18"/>
        </w:rPr>
      </w:pPr>
      <w:r>
        <w:rPr>
          <w:rFonts w:ascii="Arial" w:eastAsia="標楷體" w:hAnsi="Arial" w:cs="Arial" w:hint="eastAsia"/>
          <w:color w:val="000000" w:themeColor="text1"/>
          <w:sz w:val="18"/>
          <w:szCs w:val="18"/>
        </w:rPr>
        <w:t>3.</w:t>
      </w:r>
      <w:r w:rsidR="00811693" w:rsidRPr="006675C9">
        <w:rPr>
          <w:rFonts w:ascii="Arial" w:eastAsia="標楷體" w:hAnsi="標楷體" w:cs="Arial"/>
          <w:color w:val="000000" w:themeColor="text1"/>
          <w:sz w:val="18"/>
          <w:szCs w:val="18"/>
        </w:rPr>
        <w:t>權證每筆買進報價不得低於一百交易單位或總金額應達壹拾萬元以上。但有下列各情事之一者，得不受其限制，惟不</w:t>
      </w:r>
      <w:r w:rsidR="00811693" w:rsidRPr="006675C9">
        <w:rPr>
          <w:rFonts w:ascii="Arial" w:eastAsia="標楷體" w:hAnsi="Arial" w:cs="Arial"/>
          <w:color w:val="000000" w:themeColor="text1"/>
          <w:sz w:val="18"/>
          <w:szCs w:val="18"/>
          <w:lang w:val="zh-TW"/>
        </w:rPr>
        <w:t>得</w:t>
      </w:r>
      <w:r w:rsidR="00811693" w:rsidRPr="006675C9">
        <w:rPr>
          <w:rFonts w:ascii="Arial" w:eastAsia="標楷體" w:hAnsi="標楷體" w:cs="Arial"/>
          <w:color w:val="000000" w:themeColor="text1"/>
          <w:sz w:val="18"/>
          <w:szCs w:val="18"/>
        </w:rPr>
        <w:t>低於十交易單</w:t>
      </w:r>
    </w:p>
    <w:p w14:paraId="57AC3AF4" w14:textId="77777777" w:rsidR="00811693" w:rsidRPr="006675C9" w:rsidRDefault="00811693" w:rsidP="00A76B97">
      <w:pPr>
        <w:spacing w:line="200" w:lineRule="exact"/>
        <w:ind w:leftChars="263" w:left="631" w:firstLineChars="100" w:firstLine="18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位：</w:t>
      </w:r>
    </w:p>
    <w:p w14:paraId="055E889F" w14:textId="77777777" w:rsidR="00811693" w:rsidRPr="006675C9" w:rsidRDefault="00811693" w:rsidP="006675C9">
      <w:pPr>
        <w:spacing w:line="200" w:lineRule="exact"/>
        <w:ind w:leftChars="300" w:left="1512" w:hangingChars="440" w:hanging="792"/>
        <w:jc w:val="both"/>
        <w:rPr>
          <w:rFonts w:ascii="Arial" w:eastAsia="標楷體" w:hAnsi="Arial" w:cs="Arial"/>
          <w:color w:val="000000" w:themeColor="text1"/>
          <w:sz w:val="18"/>
          <w:szCs w:val="18"/>
          <w:lang w:val="zh-TW"/>
        </w:rPr>
      </w:pPr>
      <w:r w:rsidRPr="006675C9">
        <w:rPr>
          <w:rFonts w:ascii="Arial" w:eastAsia="標楷體" w:hAnsi="Arial" w:cs="Arial"/>
          <w:color w:val="000000" w:themeColor="text1"/>
          <w:sz w:val="18"/>
          <w:szCs w:val="18"/>
        </w:rPr>
        <w:t>(1)</w:t>
      </w:r>
      <w:r w:rsidRPr="006675C9">
        <w:rPr>
          <w:rFonts w:ascii="Arial" w:eastAsia="標楷體" w:hAnsi="Arial" w:cs="Arial"/>
          <w:color w:val="000000" w:themeColor="text1"/>
          <w:sz w:val="18"/>
          <w:szCs w:val="18"/>
          <w:lang w:val="zh-TW"/>
        </w:rPr>
        <w:t>現股流動性不足時。</w:t>
      </w:r>
    </w:p>
    <w:p w14:paraId="16ABF768" w14:textId="77777777" w:rsidR="00811693" w:rsidRPr="006675C9" w:rsidRDefault="00811693" w:rsidP="006675C9">
      <w:pPr>
        <w:spacing w:line="200" w:lineRule="exact"/>
        <w:ind w:leftChars="300" w:left="1512" w:hangingChars="440" w:hanging="792"/>
        <w:jc w:val="both"/>
        <w:rPr>
          <w:rFonts w:ascii="Arial" w:eastAsia="標楷體" w:hAnsi="Arial" w:cs="Arial"/>
          <w:color w:val="000000" w:themeColor="text1"/>
          <w:sz w:val="18"/>
          <w:szCs w:val="18"/>
          <w:lang w:val="zh-TW"/>
        </w:rPr>
      </w:pPr>
      <w:r w:rsidRPr="006675C9">
        <w:rPr>
          <w:rFonts w:ascii="Arial" w:eastAsia="標楷體" w:hAnsi="Arial" w:cs="Arial"/>
          <w:color w:val="000000" w:themeColor="text1"/>
          <w:sz w:val="18"/>
          <w:szCs w:val="18"/>
          <w:lang w:val="zh-TW"/>
        </w:rPr>
        <w:t>(2)</w:t>
      </w:r>
      <w:r w:rsidRPr="006675C9">
        <w:rPr>
          <w:rFonts w:ascii="Arial" w:eastAsia="標楷體" w:hAnsi="Arial" w:cs="Arial"/>
          <w:color w:val="000000" w:themeColor="text1"/>
          <w:sz w:val="18"/>
          <w:szCs w:val="18"/>
          <w:lang w:val="zh-TW"/>
        </w:rPr>
        <w:t>標的證券為處置股票時。</w:t>
      </w:r>
    </w:p>
    <w:p w14:paraId="5E3F1ABC" w14:textId="77777777" w:rsidR="00811693" w:rsidRPr="006675C9" w:rsidRDefault="00811693" w:rsidP="006675C9">
      <w:pPr>
        <w:spacing w:line="200" w:lineRule="exact"/>
        <w:ind w:leftChars="300" w:left="1512" w:hangingChars="440" w:hanging="792"/>
        <w:jc w:val="both"/>
        <w:rPr>
          <w:rFonts w:ascii="Arial" w:eastAsia="標楷體" w:hAnsi="Arial" w:cs="Arial"/>
          <w:color w:val="000000" w:themeColor="text1"/>
          <w:sz w:val="18"/>
          <w:szCs w:val="18"/>
          <w:lang w:val="zh-TW"/>
        </w:rPr>
      </w:pPr>
      <w:r w:rsidRPr="006675C9">
        <w:rPr>
          <w:rFonts w:ascii="Arial" w:eastAsia="標楷體" w:hAnsi="Arial" w:cs="Arial"/>
          <w:color w:val="000000" w:themeColor="text1"/>
          <w:sz w:val="18"/>
          <w:szCs w:val="18"/>
          <w:lang w:val="zh-TW"/>
        </w:rPr>
        <w:t>(3)</w:t>
      </w:r>
      <w:r w:rsidRPr="006675C9">
        <w:rPr>
          <w:rFonts w:ascii="Arial" w:eastAsia="標楷體" w:hAnsi="Arial" w:cs="Arial"/>
          <w:color w:val="000000" w:themeColor="text1"/>
          <w:sz w:val="18"/>
          <w:szCs w:val="18"/>
          <w:lang w:val="zh-TW"/>
        </w:rPr>
        <w:t>開盤後五分鐘至十五分鐘及收盤前五分鐘。</w:t>
      </w:r>
    </w:p>
    <w:p w14:paraId="35F182DA" w14:textId="77777777" w:rsidR="00811693" w:rsidRDefault="00186CD5" w:rsidP="00186CD5">
      <w:pPr>
        <w:spacing w:line="200" w:lineRule="exact"/>
        <w:ind w:firstLineChars="350" w:firstLine="630"/>
        <w:rPr>
          <w:rFonts w:ascii="Arial" w:eastAsia="標楷體" w:hAnsi="標楷體" w:cs="Arial"/>
          <w:color w:val="000000" w:themeColor="text1"/>
          <w:sz w:val="18"/>
          <w:szCs w:val="18"/>
        </w:rPr>
      </w:pPr>
      <w:r>
        <w:rPr>
          <w:rFonts w:ascii="Arial" w:eastAsia="標楷體" w:hAnsi="Arial" w:cs="Arial" w:hint="eastAsia"/>
          <w:color w:val="000000" w:themeColor="text1"/>
          <w:sz w:val="18"/>
          <w:szCs w:val="18"/>
          <w:lang w:val="zh-TW"/>
        </w:rPr>
        <w:t>4.</w:t>
      </w:r>
      <w:r w:rsidR="00811693" w:rsidRPr="006675C9">
        <w:rPr>
          <w:rFonts w:ascii="Arial" w:eastAsia="標楷體" w:hAnsi="標楷體" w:cs="Arial"/>
          <w:color w:val="000000" w:themeColor="text1"/>
          <w:sz w:val="18"/>
          <w:szCs w:val="18"/>
        </w:rPr>
        <w:t>權證每筆賣出報價不得低於十交易單位。</w:t>
      </w:r>
    </w:p>
    <w:p w14:paraId="0D35B5E6" w14:textId="77777777" w:rsidR="00316FFB" w:rsidRDefault="002D220E" w:rsidP="00316FFB">
      <w:pPr>
        <w:spacing w:line="200" w:lineRule="exact"/>
        <w:ind w:firstLineChars="350" w:firstLine="630"/>
        <w:rPr>
          <w:rFonts w:ascii="Arial" w:eastAsia="標楷體" w:hAnsi="標楷體" w:cs="Arial"/>
          <w:color w:val="000000" w:themeColor="text1"/>
          <w:sz w:val="18"/>
          <w:szCs w:val="18"/>
        </w:rPr>
      </w:pPr>
      <w:r w:rsidRPr="002D220E">
        <w:rPr>
          <w:rFonts w:ascii="Arial" w:eastAsia="標楷體" w:hAnsi="標楷體" w:cs="Arial" w:hint="eastAsia"/>
          <w:color w:val="000000" w:themeColor="text1"/>
          <w:sz w:val="18"/>
          <w:szCs w:val="18"/>
        </w:rPr>
        <w:t>5.</w:t>
      </w:r>
      <w:r w:rsidRPr="002D220E">
        <w:rPr>
          <w:rFonts w:ascii="Arial" w:eastAsia="標楷體" w:hAnsi="標楷體" w:cs="Arial" w:hint="eastAsia"/>
          <w:color w:val="000000" w:themeColor="text1"/>
          <w:sz w:val="18"/>
          <w:szCs w:val="18"/>
        </w:rPr>
        <w:t>現股流動性不足之定義為</w:t>
      </w:r>
      <w:r w:rsidR="00316FFB" w:rsidRPr="00316FFB">
        <w:rPr>
          <w:rFonts w:ascii="Arial" w:eastAsia="標楷體" w:hAnsi="標楷體" w:cs="Arial" w:hint="eastAsia"/>
          <w:color w:val="000000" w:themeColor="text1"/>
          <w:sz w:val="18"/>
          <w:szCs w:val="18"/>
        </w:rPr>
        <w:t>本檔權證買進報價之每一百交易單位×行使比例高於標的證券委買或委賣張數之百分之五十時。</w:t>
      </w:r>
    </w:p>
    <w:p w14:paraId="608FDDB8" w14:textId="77777777" w:rsidR="00E90118" w:rsidRPr="00E90118" w:rsidRDefault="00E90118" w:rsidP="00316FFB">
      <w:pPr>
        <w:spacing w:line="200" w:lineRule="exact"/>
        <w:ind w:firstLineChars="350" w:firstLine="630"/>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6.</w:t>
      </w:r>
      <w:r w:rsidRPr="00E90118">
        <w:rPr>
          <w:rFonts w:ascii="Arial" w:eastAsia="標楷體" w:hAnsi="標楷體" w:cs="Arial" w:hint="eastAsia"/>
          <w:color w:val="000000" w:themeColor="text1"/>
          <w:sz w:val="18"/>
          <w:szCs w:val="18"/>
        </w:rPr>
        <w:t>權證日內最佳委買報價波動率之調降不得超過</w:t>
      </w:r>
      <w:r w:rsidRPr="00E90118">
        <w:rPr>
          <w:rFonts w:ascii="Arial" w:eastAsia="標楷體" w:hAnsi="標楷體" w:cs="Arial" w:hint="eastAsia"/>
          <w:color w:val="000000" w:themeColor="text1"/>
          <w:sz w:val="18"/>
          <w:szCs w:val="18"/>
        </w:rPr>
        <w:t>1%</w:t>
      </w:r>
      <w:r w:rsidRPr="00E90118">
        <w:rPr>
          <w:rFonts w:ascii="Arial" w:eastAsia="標楷體" w:hAnsi="標楷體" w:cs="Arial" w:hint="eastAsia"/>
          <w:color w:val="000000" w:themeColor="text1"/>
          <w:sz w:val="18"/>
          <w:szCs w:val="18"/>
        </w:rPr>
        <w:t>，但有下列各情事之一者，得不受其限制。</w:t>
      </w:r>
    </w:p>
    <w:p w14:paraId="0A39B948" w14:textId="77777777"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(1)</w:t>
      </w:r>
      <w:r w:rsidRPr="00E90118">
        <w:rPr>
          <w:rFonts w:ascii="Arial" w:eastAsia="標楷體" w:hAnsi="標楷體" w:cs="Arial" w:hint="eastAsia"/>
          <w:color w:val="000000" w:themeColor="text1"/>
          <w:sz w:val="18"/>
          <w:szCs w:val="18"/>
        </w:rPr>
        <w:t>權證價內程度超過</w:t>
      </w:r>
      <w:r w:rsidRPr="00E90118">
        <w:rPr>
          <w:rFonts w:ascii="Arial" w:eastAsia="標楷體" w:hAnsi="標楷體" w:cs="Arial" w:hint="eastAsia"/>
          <w:color w:val="000000" w:themeColor="text1"/>
          <w:sz w:val="18"/>
          <w:szCs w:val="18"/>
        </w:rPr>
        <w:t>25%</w:t>
      </w:r>
      <w:r w:rsidRPr="00E90118">
        <w:rPr>
          <w:rFonts w:ascii="Arial" w:eastAsia="標楷體" w:hAnsi="標楷體" w:cs="Arial" w:hint="eastAsia"/>
          <w:color w:val="000000" w:themeColor="text1"/>
          <w:sz w:val="18"/>
          <w:szCs w:val="18"/>
        </w:rPr>
        <w:t>，及價外程度超過</w:t>
      </w:r>
      <w:r w:rsidRPr="00E90118">
        <w:rPr>
          <w:rFonts w:ascii="Arial" w:eastAsia="標楷體" w:hAnsi="標楷體" w:cs="Arial" w:hint="eastAsia"/>
          <w:color w:val="000000" w:themeColor="text1"/>
          <w:sz w:val="18"/>
          <w:szCs w:val="18"/>
        </w:rPr>
        <w:t>25%</w:t>
      </w:r>
      <w:r w:rsidRPr="00E90118">
        <w:rPr>
          <w:rFonts w:ascii="Arial" w:eastAsia="標楷體" w:hAnsi="標楷體" w:cs="Arial" w:hint="eastAsia"/>
          <w:color w:val="000000" w:themeColor="text1"/>
          <w:sz w:val="18"/>
          <w:szCs w:val="18"/>
        </w:rPr>
        <w:t>且最佳一檔委託買進價格小於</w:t>
      </w:r>
      <w:r w:rsidRPr="00E90118">
        <w:rPr>
          <w:rFonts w:ascii="Arial" w:eastAsia="標楷體" w:hAnsi="標楷體" w:cs="Arial" w:hint="eastAsia"/>
          <w:color w:val="000000" w:themeColor="text1"/>
          <w:sz w:val="18"/>
          <w:szCs w:val="18"/>
        </w:rPr>
        <w:t xml:space="preserve">0.6 </w:t>
      </w:r>
      <w:r w:rsidRPr="00E90118">
        <w:rPr>
          <w:rFonts w:ascii="Arial" w:eastAsia="標楷體" w:hAnsi="標楷體" w:cs="Arial" w:hint="eastAsia"/>
          <w:color w:val="000000" w:themeColor="text1"/>
          <w:sz w:val="18"/>
          <w:szCs w:val="18"/>
        </w:rPr>
        <w:t>元者</w:t>
      </w:r>
      <w:r w:rsidRPr="00E90118">
        <w:rPr>
          <w:rFonts w:ascii="Arial" w:eastAsia="標楷體" w:hAnsi="標楷體" w:cs="Arial" w:hint="eastAsia"/>
          <w:color w:val="000000" w:themeColor="text1"/>
          <w:sz w:val="18"/>
          <w:szCs w:val="18"/>
        </w:rPr>
        <w:t xml:space="preserve"> </w:t>
      </w:r>
    </w:p>
    <w:p w14:paraId="6385C609" w14:textId="77777777"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(2)</w:t>
      </w:r>
      <w:r w:rsidRPr="00E90118">
        <w:rPr>
          <w:rFonts w:ascii="Arial" w:eastAsia="標楷體" w:hAnsi="標楷體" w:cs="Arial" w:hint="eastAsia"/>
          <w:color w:val="000000" w:themeColor="text1"/>
          <w:sz w:val="18"/>
          <w:szCs w:val="18"/>
        </w:rPr>
        <w:t>權證距到期日小於</w:t>
      </w:r>
      <w:r w:rsidRPr="00E90118">
        <w:rPr>
          <w:rFonts w:ascii="Arial" w:eastAsia="標楷體" w:hAnsi="標楷體" w:cs="Arial" w:hint="eastAsia"/>
          <w:color w:val="000000" w:themeColor="text1"/>
          <w:sz w:val="18"/>
          <w:szCs w:val="18"/>
        </w:rPr>
        <w:t>15</w:t>
      </w:r>
      <w:r w:rsidRPr="00E90118">
        <w:rPr>
          <w:rFonts w:ascii="Arial" w:eastAsia="標楷體" w:hAnsi="標楷體" w:cs="Arial" w:hint="eastAsia"/>
          <w:color w:val="000000" w:themeColor="text1"/>
          <w:sz w:val="18"/>
          <w:szCs w:val="18"/>
        </w:rPr>
        <w:t>個營業日者。</w:t>
      </w:r>
      <w:r w:rsidRPr="00E90118">
        <w:rPr>
          <w:rFonts w:ascii="Arial" w:eastAsia="標楷體" w:hAnsi="標楷體" w:cs="Arial" w:hint="eastAsia"/>
          <w:color w:val="000000" w:themeColor="text1"/>
          <w:sz w:val="18"/>
          <w:szCs w:val="18"/>
        </w:rPr>
        <w:t xml:space="preserve"> </w:t>
      </w:r>
    </w:p>
    <w:p w14:paraId="1E0B4108" w14:textId="77777777"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(3)</w:t>
      </w:r>
      <w:r w:rsidRPr="00E90118">
        <w:rPr>
          <w:rFonts w:ascii="Arial" w:eastAsia="標楷體" w:hAnsi="標楷體" w:cs="Arial" w:hint="eastAsia"/>
          <w:color w:val="000000" w:themeColor="text1"/>
          <w:sz w:val="18"/>
          <w:szCs w:val="18"/>
        </w:rPr>
        <w:t>權證符合不報價時機者。</w:t>
      </w:r>
      <w:r w:rsidRPr="00E90118">
        <w:rPr>
          <w:rFonts w:ascii="Arial" w:eastAsia="標楷體" w:hAnsi="標楷體" w:cs="Arial" w:hint="eastAsia"/>
          <w:color w:val="000000" w:themeColor="text1"/>
          <w:sz w:val="18"/>
          <w:szCs w:val="18"/>
        </w:rPr>
        <w:t xml:space="preserve"> </w:t>
      </w:r>
    </w:p>
    <w:p w14:paraId="30CA89C1" w14:textId="77777777"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(4)</w:t>
      </w:r>
      <w:r w:rsidRPr="00E90118">
        <w:rPr>
          <w:rFonts w:ascii="Arial" w:eastAsia="標楷體" w:hAnsi="標楷體" w:cs="Arial" w:hint="eastAsia"/>
          <w:color w:val="000000" w:themeColor="text1"/>
          <w:sz w:val="18"/>
          <w:szCs w:val="18"/>
        </w:rPr>
        <w:t>權證價格變動</w:t>
      </w:r>
      <w:r w:rsidRPr="00E90118">
        <w:rPr>
          <w:rFonts w:ascii="Arial" w:eastAsia="標楷體" w:hAnsi="標楷體" w:cs="Arial" w:hint="eastAsia"/>
          <w:color w:val="000000" w:themeColor="text1"/>
          <w:sz w:val="18"/>
          <w:szCs w:val="18"/>
        </w:rPr>
        <w:t>1</w:t>
      </w:r>
      <w:r w:rsidRPr="00E90118">
        <w:rPr>
          <w:rFonts w:ascii="Arial" w:eastAsia="標楷體" w:hAnsi="標楷體" w:cs="Arial" w:hint="eastAsia"/>
          <w:color w:val="000000" w:themeColor="text1"/>
          <w:sz w:val="18"/>
          <w:szCs w:val="18"/>
        </w:rPr>
        <w:t>個升降單位造成報價波動率差異超過</w:t>
      </w:r>
      <w:r w:rsidRPr="00E90118">
        <w:rPr>
          <w:rFonts w:ascii="Arial" w:eastAsia="標楷體" w:hAnsi="標楷體" w:cs="Arial" w:hint="eastAsia"/>
          <w:color w:val="000000" w:themeColor="text1"/>
          <w:sz w:val="18"/>
          <w:szCs w:val="18"/>
        </w:rPr>
        <w:t>0.5%</w:t>
      </w:r>
      <w:r w:rsidRPr="00E90118">
        <w:rPr>
          <w:rFonts w:ascii="Arial" w:eastAsia="標楷體" w:hAnsi="標楷體" w:cs="Arial" w:hint="eastAsia"/>
          <w:color w:val="000000" w:themeColor="text1"/>
          <w:sz w:val="18"/>
          <w:szCs w:val="18"/>
        </w:rPr>
        <w:t>者。</w:t>
      </w:r>
      <w:r w:rsidRPr="00E90118">
        <w:rPr>
          <w:rFonts w:ascii="Arial" w:eastAsia="標楷體" w:hAnsi="標楷體" w:cs="Arial" w:hint="eastAsia"/>
          <w:color w:val="000000" w:themeColor="text1"/>
          <w:sz w:val="18"/>
          <w:szCs w:val="18"/>
        </w:rPr>
        <w:t xml:space="preserve"> </w:t>
      </w:r>
    </w:p>
    <w:p w14:paraId="65136D47" w14:textId="77777777"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(5)</w:t>
      </w:r>
      <w:r w:rsidRPr="00E90118">
        <w:rPr>
          <w:rFonts w:ascii="Arial" w:eastAsia="標楷體" w:hAnsi="標楷體" w:cs="Arial" w:hint="eastAsia"/>
          <w:color w:val="000000" w:themeColor="text1"/>
          <w:sz w:val="18"/>
          <w:szCs w:val="18"/>
        </w:rPr>
        <w:t>權證委買報價理論價格因小數點進位而造成波動率差異問題者。</w:t>
      </w:r>
    </w:p>
    <w:p w14:paraId="35543787" w14:textId="77777777" w:rsidR="00E90118" w:rsidRPr="00E90118" w:rsidRDefault="00E90118" w:rsidP="00E90118">
      <w:pPr>
        <w:snapToGrid w:val="0"/>
        <w:spacing w:line="200" w:lineRule="exact"/>
        <w:ind w:leftChars="201" w:left="482" w:firstLineChars="150" w:firstLine="270"/>
        <w:jc w:val="both"/>
        <w:rPr>
          <w:rFonts w:ascii="Arial" w:eastAsia="標楷體" w:hAnsi="標楷體" w:cs="Arial"/>
          <w:color w:val="000000" w:themeColor="text1"/>
          <w:sz w:val="18"/>
          <w:szCs w:val="18"/>
        </w:rPr>
      </w:pPr>
      <w:r w:rsidRPr="00E90118">
        <w:rPr>
          <w:rFonts w:ascii="Arial" w:eastAsia="標楷體" w:hAnsi="標楷體" w:cs="Arial" w:hint="eastAsia"/>
          <w:color w:val="000000" w:themeColor="text1"/>
          <w:sz w:val="18"/>
          <w:szCs w:val="18"/>
        </w:rPr>
        <w:t>(6)</w:t>
      </w:r>
      <w:r w:rsidRPr="00E90118">
        <w:rPr>
          <w:rFonts w:ascii="Arial" w:eastAsia="標楷體" w:hAnsi="標楷體" w:cs="Arial" w:hint="eastAsia"/>
          <w:color w:val="000000" w:themeColor="text1"/>
          <w:sz w:val="18"/>
          <w:szCs w:val="18"/>
        </w:rPr>
        <w:t>前一日收盤無流通在外之權證</w:t>
      </w:r>
    </w:p>
    <w:p w14:paraId="7AE2FDBF" w14:textId="77777777" w:rsidR="004E7743" w:rsidRPr="006675C9" w:rsidRDefault="004E7743" w:rsidP="00ED1671">
      <w:pPr>
        <w:snapToGrid w:val="0"/>
        <w:spacing w:line="200" w:lineRule="exact"/>
        <w:ind w:leftChars="201" w:left="552" w:hangingChars="39" w:hanging="70"/>
        <w:jc w:val="both"/>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不提供報價之時機</w:t>
      </w:r>
    </w:p>
    <w:p w14:paraId="712D8211" w14:textId="77777777" w:rsidR="004E7743" w:rsidRPr="006675C9" w:rsidRDefault="00507020"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1.</w:t>
      </w:r>
      <w:r w:rsidR="00FF56AE" w:rsidRPr="006675C9">
        <w:rPr>
          <w:rFonts w:ascii="Arial" w:eastAsia="標楷體" w:hAnsi="標楷體" w:cs="Arial"/>
          <w:color w:val="000000" w:themeColor="text1"/>
          <w:sz w:val="18"/>
          <w:szCs w:val="18"/>
        </w:rPr>
        <w:t>櫃檯買賣</w:t>
      </w:r>
      <w:r w:rsidR="004E7743" w:rsidRPr="006675C9">
        <w:rPr>
          <w:rFonts w:ascii="Arial" w:eastAsia="標楷體" w:hAnsi="標楷體" w:cs="Arial"/>
          <w:color w:val="000000" w:themeColor="text1"/>
          <w:sz w:val="18"/>
          <w:szCs w:val="18"/>
        </w:rPr>
        <w:t>市場開盤後</w:t>
      </w:r>
      <w:r w:rsidR="004D60B6" w:rsidRPr="006675C9">
        <w:rPr>
          <w:rFonts w:ascii="Arial" w:eastAsia="標楷體" w:hAnsi="Arial" w:cs="Arial"/>
          <w:color w:val="000000" w:themeColor="text1"/>
          <w:sz w:val="18"/>
          <w:szCs w:val="18"/>
        </w:rPr>
        <w:t>5</w:t>
      </w:r>
      <w:r w:rsidR="004E7743" w:rsidRPr="006675C9">
        <w:rPr>
          <w:rFonts w:ascii="Arial" w:eastAsia="標楷體" w:hAnsi="標楷體" w:cs="Arial"/>
          <w:color w:val="000000" w:themeColor="text1"/>
          <w:sz w:val="18"/>
          <w:szCs w:val="18"/>
        </w:rPr>
        <w:t>分鐘內。</w:t>
      </w:r>
    </w:p>
    <w:p w14:paraId="79E3C5C7" w14:textId="77777777" w:rsidR="004E7743" w:rsidRPr="006675C9" w:rsidRDefault="00507020"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2.</w:t>
      </w:r>
      <w:r w:rsidR="004E7743" w:rsidRPr="006675C9">
        <w:rPr>
          <w:rFonts w:ascii="Arial" w:eastAsia="標楷體" w:hAnsi="標楷體" w:cs="Arial"/>
          <w:color w:val="000000" w:themeColor="text1"/>
          <w:sz w:val="18"/>
          <w:szCs w:val="18"/>
        </w:rPr>
        <w:t>權證之標的證券暫停交易。</w:t>
      </w:r>
    </w:p>
    <w:p w14:paraId="32274A05" w14:textId="77777777" w:rsidR="008A1607" w:rsidRDefault="00507020" w:rsidP="008A1607">
      <w:pPr>
        <w:widowControl/>
        <w:spacing w:line="200" w:lineRule="exact"/>
        <w:ind w:left="744"/>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004E7743" w:rsidRPr="006675C9">
        <w:rPr>
          <w:rFonts w:ascii="Arial" w:eastAsia="標楷體" w:hAnsi="標楷體" w:cs="Arial"/>
          <w:color w:val="000000" w:themeColor="text1"/>
          <w:sz w:val="18"/>
          <w:szCs w:val="18"/>
        </w:rPr>
        <w:t>當流動量提供者專戶內之權證數量無法滿足每筆報價最低賣出單位時，流動量提供者僅申報買進價格。</w:t>
      </w:r>
    </w:p>
    <w:p w14:paraId="284F7CDB" w14:textId="77777777" w:rsidR="008A1607" w:rsidRPr="008A1607" w:rsidRDefault="008A1607" w:rsidP="008A1607">
      <w:pPr>
        <w:widowControl/>
        <w:spacing w:line="200" w:lineRule="exact"/>
        <w:ind w:left="744"/>
        <w:jc w:val="both"/>
        <w:rPr>
          <w:rFonts w:ascii="Arial" w:eastAsia="標楷體" w:hAnsi="標楷體" w:cs="Arial"/>
          <w:color w:val="000000" w:themeColor="text1"/>
          <w:sz w:val="18"/>
          <w:szCs w:val="18"/>
        </w:rPr>
      </w:pPr>
      <w:r>
        <w:rPr>
          <w:rFonts w:ascii="Arial" w:eastAsia="標楷體" w:hAnsi="Arial" w:cs="Arial" w:hint="eastAsia"/>
          <w:color w:val="000000" w:themeColor="text1"/>
          <w:sz w:val="18"/>
          <w:szCs w:val="18"/>
        </w:rPr>
        <w:t>4.</w:t>
      </w:r>
      <w:r>
        <w:rPr>
          <w:rFonts w:ascii="Arial" w:eastAsia="標楷體" w:hAnsi="Arial" w:cs="Arial" w:hint="eastAsia"/>
          <w:color w:val="000000" w:themeColor="text1"/>
          <w:sz w:val="18"/>
          <w:szCs w:val="18"/>
        </w:rPr>
        <w:t>權證距到期日十五個交易日以內，流動量提供者得僅申報買進。</w:t>
      </w:r>
    </w:p>
    <w:p w14:paraId="0C75ABA3" w14:textId="77777777" w:rsidR="004E7743" w:rsidRPr="006675C9" w:rsidRDefault="008A1607"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5</w:t>
      </w:r>
      <w:r w:rsidR="00507020">
        <w:rPr>
          <w:rFonts w:ascii="Arial" w:eastAsia="標楷體" w:hAnsi="標楷體" w:cs="Arial" w:hint="eastAsia"/>
          <w:color w:val="000000" w:themeColor="text1"/>
          <w:sz w:val="18"/>
          <w:szCs w:val="18"/>
        </w:rPr>
        <w:t>.</w:t>
      </w:r>
      <w:r w:rsidR="004E7743" w:rsidRPr="006675C9">
        <w:rPr>
          <w:rFonts w:ascii="Arial" w:eastAsia="標楷體" w:hAnsi="標楷體" w:cs="Arial"/>
          <w:color w:val="000000" w:themeColor="text1"/>
          <w:sz w:val="18"/>
          <w:szCs w:val="18"/>
        </w:rPr>
        <w:t>權證理論價值低於</w:t>
      </w:r>
      <w:r w:rsidR="004E7743" w:rsidRPr="006675C9">
        <w:rPr>
          <w:rFonts w:ascii="Arial" w:eastAsia="標楷體" w:hAnsi="Arial" w:cs="Arial"/>
          <w:color w:val="000000" w:themeColor="text1"/>
          <w:sz w:val="18"/>
          <w:szCs w:val="18"/>
        </w:rPr>
        <w:t xml:space="preserve"> 0.0</w:t>
      </w:r>
      <w:r w:rsidR="004D60B6" w:rsidRPr="006675C9">
        <w:rPr>
          <w:rFonts w:ascii="Arial" w:eastAsia="標楷體" w:hAnsi="Arial" w:cs="Arial"/>
          <w:color w:val="000000" w:themeColor="text1"/>
          <w:sz w:val="18"/>
          <w:szCs w:val="18"/>
        </w:rPr>
        <w:t>1</w:t>
      </w:r>
      <w:r w:rsidR="00316FFB">
        <w:rPr>
          <w:rFonts w:ascii="Arial" w:eastAsia="標楷體" w:hAnsi="標楷體" w:cs="Arial"/>
          <w:color w:val="000000" w:themeColor="text1"/>
          <w:sz w:val="18"/>
          <w:szCs w:val="18"/>
        </w:rPr>
        <w:t>元</w:t>
      </w:r>
      <w:r w:rsidR="004E7743" w:rsidRPr="006675C9">
        <w:rPr>
          <w:rFonts w:ascii="Arial" w:eastAsia="標楷體" w:hAnsi="標楷體" w:cs="Arial"/>
          <w:color w:val="000000" w:themeColor="text1"/>
          <w:sz w:val="18"/>
          <w:szCs w:val="18"/>
        </w:rPr>
        <w:t>的權證。</w:t>
      </w:r>
    </w:p>
    <w:p w14:paraId="19464A09" w14:textId="77777777" w:rsidR="004E7743" w:rsidRPr="006675C9" w:rsidRDefault="008A1607"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6</w:t>
      </w:r>
      <w:r w:rsidR="00507020">
        <w:rPr>
          <w:rFonts w:ascii="Arial" w:eastAsia="標楷體" w:hAnsi="標楷體" w:cs="Arial" w:hint="eastAsia"/>
          <w:color w:val="000000" w:themeColor="text1"/>
          <w:sz w:val="18"/>
          <w:szCs w:val="18"/>
        </w:rPr>
        <w:t>.</w:t>
      </w:r>
      <w:r w:rsidR="004E7743" w:rsidRPr="006675C9">
        <w:rPr>
          <w:rFonts w:ascii="Arial" w:eastAsia="標楷體" w:hAnsi="標楷體" w:cs="Arial"/>
          <w:color w:val="000000" w:themeColor="text1"/>
          <w:sz w:val="18"/>
          <w:szCs w:val="18"/>
        </w:rPr>
        <w:t>流動量提供者在日常運作出現技術性問題時。</w:t>
      </w:r>
    </w:p>
    <w:p w14:paraId="3892E920" w14:textId="77777777" w:rsidR="004E7743" w:rsidRPr="006675C9" w:rsidRDefault="008A1607"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7</w:t>
      </w:r>
      <w:r w:rsidR="00507020">
        <w:rPr>
          <w:rFonts w:ascii="Arial" w:eastAsia="標楷體" w:hAnsi="標楷體" w:cs="Arial" w:hint="eastAsia"/>
          <w:color w:val="000000" w:themeColor="text1"/>
          <w:sz w:val="18"/>
          <w:szCs w:val="18"/>
        </w:rPr>
        <w:t>.</w:t>
      </w:r>
      <w:r w:rsidR="004E7743" w:rsidRPr="006675C9">
        <w:rPr>
          <w:rFonts w:ascii="Arial" w:eastAsia="標楷體" w:hAnsi="標楷體" w:cs="Arial"/>
          <w:color w:val="000000" w:themeColor="text1"/>
          <w:sz w:val="18"/>
          <w:szCs w:val="18"/>
        </w:rPr>
        <w:t>當發行人無法進行避險時。</w:t>
      </w:r>
    </w:p>
    <w:p w14:paraId="770650C1" w14:textId="77777777" w:rsidR="00452CC4" w:rsidRPr="006675C9" w:rsidRDefault="008A1607" w:rsidP="00507020">
      <w:pPr>
        <w:widowControl/>
        <w:spacing w:line="200" w:lineRule="exact"/>
        <w:ind w:left="744"/>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8</w:t>
      </w:r>
      <w:r w:rsidR="00507020">
        <w:rPr>
          <w:rFonts w:ascii="Arial" w:eastAsia="標楷體" w:hAnsi="標楷體" w:cs="Arial" w:hint="eastAsia"/>
          <w:color w:val="000000" w:themeColor="text1"/>
          <w:sz w:val="18"/>
          <w:szCs w:val="18"/>
        </w:rPr>
        <w:t>.</w:t>
      </w:r>
      <w:r w:rsidR="00452CC4" w:rsidRPr="006675C9">
        <w:rPr>
          <w:rFonts w:ascii="Arial" w:eastAsia="標楷體" w:hAnsi="標楷體" w:cs="Arial"/>
          <w:color w:val="000000" w:themeColor="text1"/>
          <w:sz w:val="18"/>
          <w:szCs w:val="18"/>
        </w:rPr>
        <w:t>價內程度超過</w:t>
      </w:r>
      <w:r w:rsidR="00452CC4" w:rsidRPr="006675C9">
        <w:rPr>
          <w:rFonts w:ascii="Arial" w:eastAsia="標楷體" w:hAnsi="Arial" w:cs="Arial"/>
          <w:color w:val="000000" w:themeColor="text1"/>
          <w:sz w:val="18"/>
          <w:szCs w:val="18"/>
        </w:rPr>
        <w:t>30%(</w:t>
      </w:r>
      <w:r w:rsidR="00452CC4" w:rsidRPr="006675C9">
        <w:rPr>
          <w:rFonts w:ascii="Arial" w:eastAsia="標楷體" w:hAnsi="標楷體" w:cs="Arial"/>
          <w:color w:val="000000" w:themeColor="text1"/>
          <w:sz w:val="18"/>
          <w:szCs w:val="18"/>
        </w:rPr>
        <w:t>含</w:t>
      </w:r>
      <w:r w:rsidR="00452CC4" w:rsidRPr="006675C9">
        <w:rPr>
          <w:rFonts w:ascii="Arial" w:eastAsia="標楷體" w:hAnsi="Arial" w:cs="Arial"/>
          <w:color w:val="000000" w:themeColor="text1"/>
          <w:sz w:val="18"/>
          <w:szCs w:val="18"/>
        </w:rPr>
        <w:t>)</w:t>
      </w:r>
      <w:r w:rsidR="00452CC4" w:rsidRPr="006675C9">
        <w:rPr>
          <w:rFonts w:ascii="Arial" w:eastAsia="標楷體" w:hAnsi="標楷體" w:cs="Arial"/>
          <w:color w:val="000000" w:themeColor="text1"/>
          <w:sz w:val="18"/>
          <w:szCs w:val="18"/>
        </w:rPr>
        <w:t>之權證，僅申報買進價格。</w:t>
      </w:r>
    </w:p>
    <w:p w14:paraId="4854FE0A" w14:textId="77777777" w:rsidR="0068414C" w:rsidRDefault="008A1607" w:rsidP="00507020">
      <w:pPr>
        <w:spacing w:line="200" w:lineRule="exact"/>
        <w:ind w:leftChars="300" w:left="900" w:hangingChars="100" w:hanging="180"/>
        <w:rPr>
          <w:rFonts w:ascii="Arial" w:eastAsia="標楷體" w:hAnsi="標楷體" w:cs="Arial"/>
          <w:color w:val="000000" w:themeColor="text1"/>
          <w:sz w:val="18"/>
          <w:szCs w:val="18"/>
        </w:rPr>
      </w:pPr>
      <w:r>
        <w:rPr>
          <w:rFonts w:ascii="Arial" w:eastAsia="標楷體" w:hAnsi="Arial" w:cs="Arial" w:hint="eastAsia"/>
          <w:color w:val="000000" w:themeColor="text1"/>
          <w:sz w:val="18"/>
          <w:szCs w:val="18"/>
        </w:rPr>
        <w:t>9</w:t>
      </w:r>
      <w:r w:rsidR="0068414C" w:rsidRPr="006675C9">
        <w:rPr>
          <w:rFonts w:ascii="Arial" w:eastAsia="標楷體" w:hAnsi="Arial" w:cs="Arial"/>
          <w:color w:val="000000" w:themeColor="text1"/>
          <w:sz w:val="18"/>
          <w:szCs w:val="18"/>
        </w:rPr>
        <w:t>.</w:t>
      </w:r>
      <w:r w:rsidR="0068414C" w:rsidRPr="006675C9">
        <w:rPr>
          <w:rFonts w:ascii="Arial" w:eastAsia="標楷體" w:hAnsi="標楷體" w:cs="Arial"/>
          <w:color w:val="000000" w:themeColor="text1"/>
          <w:sz w:val="18"/>
          <w:szCs w:val="18"/>
        </w:rPr>
        <w:t>標的證券價格漲停時，認購（售）權證得僅申報買進（賣出）價格；標的證券價格跌停時，認購（售）權證得僅申報賣出（買進）價格。認購（售）權證價格漲停時，認購（售）權證得僅申報買進價格；認購（售）權證價格跌停時，認購（售）權證得僅申報賣出價格。</w:t>
      </w:r>
    </w:p>
    <w:p w14:paraId="7FA29E45" w14:textId="77777777" w:rsidR="00CF2FE8" w:rsidRDefault="008A1607" w:rsidP="00CF2FE8">
      <w:pPr>
        <w:spacing w:line="240" w:lineRule="exact"/>
        <w:ind w:leftChars="300" w:left="871" w:hangingChars="84" w:hanging="151"/>
        <w:rPr>
          <w:rFonts w:ascii="Arial" w:eastAsia="標楷體" w:hAnsi="標楷體" w:cs="Arial"/>
          <w:color w:val="000000" w:themeColor="text1"/>
          <w:sz w:val="18"/>
          <w:szCs w:val="18"/>
        </w:rPr>
      </w:pPr>
      <w:r>
        <w:rPr>
          <w:rFonts w:ascii="Arial" w:eastAsia="標楷體" w:hAnsi="Arial" w:cs="Arial" w:hint="eastAsia"/>
          <w:color w:val="000000" w:themeColor="text1"/>
          <w:sz w:val="18"/>
          <w:szCs w:val="18"/>
        </w:rPr>
        <w:t>10</w:t>
      </w:r>
      <w:r w:rsidR="00CF2FE8">
        <w:rPr>
          <w:rFonts w:ascii="Arial" w:eastAsia="標楷體" w:hAnsi="Arial" w:cs="Arial"/>
          <w:color w:val="000000" w:themeColor="text1"/>
          <w:sz w:val="18"/>
          <w:szCs w:val="18"/>
        </w:rPr>
        <w:t>.</w:t>
      </w:r>
      <w:r w:rsidR="00CF2FE8">
        <w:rPr>
          <w:rFonts w:ascii="Arial" w:eastAsia="標楷體" w:hAnsi="Arial" w:cs="Arial" w:hint="eastAsia"/>
          <w:color w:val="000000" w:themeColor="text1"/>
          <w:sz w:val="18"/>
          <w:szCs w:val="18"/>
        </w:rPr>
        <w:t>個股型權證及指數型權證者，其標的</w:t>
      </w:r>
      <w:r w:rsidR="00CF2FE8">
        <w:rPr>
          <w:rFonts w:ascii="Arial" w:eastAsia="標楷體" w:hAnsi="Arial" w:cs="Arial"/>
          <w:color w:val="000000" w:themeColor="text1"/>
          <w:sz w:val="18"/>
          <w:szCs w:val="18"/>
        </w:rPr>
        <w:t>20</w:t>
      </w:r>
      <w:r w:rsidR="00CF2FE8">
        <w:rPr>
          <w:rFonts w:ascii="Arial" w:eastAsia="標楷體" w:hAnsi="Arial" w:cs="Arial" w:hint="eastAsia"/>
          <w:color w:val="000000" w:themeColor="text1"/>
          <w:sz w:val="18"/>
          <w:szCs w:val="18"/>
        </w:rPr>
        <w:t>天交易日歷史波動率超過權證最佳委買價格隱含波動率達</w:t>
      </w:r>
      <w:r w:rsidR="00CF2FE8">
        <w:rPr>
          <w:rFonts w:ascii="Arial" w:eastAsia="標楷體" w:hAnsi="Arial" w:cs="Arial"/>
          <w:color w:val="000000" w:themeColor="text1"/>
          <w:sz w:val="18"/>
          <w:szCs w:val="18"/>
        </w:rPr>
        <w:t>5%</w:t>
      </w:r>
      <w:r w:rsidR="00086B59">
        <w:rPr>
          <w:rFonts w:ascii="Arial" w:eastAsia="標楷體" w:hAnsi="標楷體" w:cs="Arial" w:hint="eastAsia"/>
          <w:color w:val="000000" w:themeColor="text1"/>
          <w:sz w:val="17"/>
          <w:szCs w:val="17"/>
        </w:rPr>
        <w:t>時，</w:t>
      </w:r>
      <w:r w:rsidR="00086B59">
        <w:rPr>
          <w:rFonts w:ascii="Arial" w:eastAsia="標楷體" w:hAnsi="標楷體" w:cs="Arial" w:hint="eastAsia"/>
          <w:color w:val="000000" w:themeColor="text1"/>
          <w:sz w:val="18"/>
          <w:szCs w:val="18"/>
        </w:rPr>
        <w:t>權證得不報賣價。</w:t>
      </w:r>
    </w:p>
    <w:p w14:paraId="1C9EB8B3" w14:textId="77777777" w:rsidR="00BC2C8F" w:rsidRDefault="00BC2C8F" w:rsidP="00CF2FE8">
      <w:pPr>
        <w:spacing w:line="240" w:lineRule="exact"/>
        <w:ind w:leftChars="300" w:left="871" w:hangingChars="84" w:hanging="151"/>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11.</w:t>
      </w:r>
      <w:r w:rsidRPr="00BC2C8F">
        <w:rPr>
          <w:rFonts w:ascii="Arial" w:eastAsia="標楷體" w:hAnsi="標楷體" w:cs="Arial" w:hint="eastAsia"/>
          <w:color w:val="000000" w:themeColor="text1"/>
          <w:sz w:val="18"/>
          <w:szCs w:val="18"/>
        </w:rPr>
        <w:t>標的為期貨</w:t>
      </w:r>
      <w:r w:rsidRPr="00BC2C8F">
        <w:rPr>
          <w:rFonts w:ascii="Arial" w:eastAsia="標楷體" w:hAnsi="標楷體" w:cs="Arial" w:hint="eastAsia"/>
          <w:color w:val="000000" w:themeColor="text1"/>
          <w:sz w:val="18"/>
          <w:szCs w:val="18"/>
        </w:rPr>
        <w:t>ETF</w:t>
      </w:r>
      <w:r w:rsidRPr="00BC2C8F">
        <w:rPr>
          <w:rFonts w:ascii="Arial" w:eastAsia="標楷體" w:hAnsi="標楷體" w:cs="Arial" w:hint="eastAsia"/>
          <w:color w:val="000000" w:themeColor="text1"/>
          <w:sz w:val="18"/>
          <w:szCs w:val="18"/>
        </w:rPr>
        <w:t>者，經主管機關公告限制買進後次一營業日起，至公告恢復買進委託止，權證得僅申報買進價格。</w:t>
      </w:r>
    </w:p>
    <w:p w14:paraId="102079C8" w14:textId="77777777" w:rsidR="009B60F1" w:rsidRPr="006675C9" w:rsidRDefault="009B60F1" w:rsidP="006675C9">
      <w:pPr>
        <w:numPr>
          <w:ilvl w:val="0"/>
          <w:numId w:val="3"/>
        </w:numPr>
        <w:tabs>
          <w:tab w:val="clear" w:pos="482"/>
          <w:tab w:val="num" w:pos="360"/>
        </w:tabs>
        <w:snapToGrid w:val="0"/>
        <w:spacing w:line="200" w:lineRule="exact"/>
        <w:ind w:left="1796" w:hanging="1796"/>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履約事項</w:t>
      </w:r>
      <w:r w:rsidRPr="006675C9">
        <w:rPr>
          <w:rFonts w:ascii="Arial" w:eastAsia="標楷體" w:hAnsi="Arial" w:cs="Arial"/>
          <w:b/>
          <w:color w:val="000000" w:themeColor="text1"/>
          <w:sz w:val="18"/>
          <w:szCs w:val="18"/>
        </w:rPr>
        <w:t>:</w:t>
      </w:r>
    </w:p>
    <w:p w14:paraId="48EC9D76" w14:textId="77777777" w:rsidR="009B60F1" w:rsidRPr="006675C9" w:rsidRDefault="009B60F1" w:rsidP="006675C9">
      <w:pPr>
        <w:numPr>
          <w:ilvl w:val="4"/>
          <w:numId w:val="4"/>
        </w:numPr>
        <w:tabs>
          <w:tab w:val="clear" w:pos="2340"/>
          <w:tab w:val="left" w:pos="48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請求履約之程序</w:t>
      </w:r>
    </w:p>
    <w:p w14:paraId="38618D5C" w14:textId="77777777" w:rsidR="00437444" w:rsidRPr="006675C9" w:rsidRDefault="00B8248C"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請求方式</w:t>
      </w:r>
      <w:r w:rsidRPr="006675C9">
        <w:rPr>
          <w:rFonts w:ascii="Arial" w:eastAsia="標楷體" w:hAnsi="Arial" w:cs="Arial"/>
          <w:color w:val="000000" w:themeColor="text1"/>
          <w:sz w:val="18"/>
          <w:szCs w:val="18"/>
        </w:rPr>
        <w:br/>
      </w:r>
      <w:r w:rsidRPr="006675C9">
        <w:rPr>
          <w:rFonts w:ascii="Arial" w:eastAsia="標楷體" w:hAnsi="標楷體" w:cs="Arial"/>
          <w:color w:val="000000" w:themeColor="text1"/>
          <w:sz w:val="18"/>
          <w:szCs w:val="18"/>
        </w:rPr>
        <w:t>依</w:t>
      </w:r>
      <w:r w:rsidR="0020197A" w:rsidRPr="006675C9">
        <w:rPr>
          <w:rFonts w:ascii="Arial" w:eastAsia="標楷體" w:hAnsi="標楷體" w:cs="Arial"/>
          <w:color w:val="000000" w:themeColor="text1"/>
          <w:sz w:val="18"/>
          <w:szCs w:val="18"/>
        </w:rPr>
        <w:t>中華民國證券櫃檯買賣中心</w:t>
      </w:r>
      <w:r w:rsidRPr="006675C9">
        <w:rPr>
          <w:rFonts w:ascii="Arial" w:eastAsia="標楷體" w:hAnsi="標楷體" w:cs="Arial"/>
          <w:color w:val="000000" w:themeColor="text1"/>
          <w:sz w:val="18"/>
          <w:szCs w:val="18"/>
        </w:rPr>
        <w:t>股份有限公司</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以下稱「</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w:t>
      </w:r>
      <w:r w:rsidRPr="006675C9">
        <w:rPr>
          <w:rFonts w:ascii="Arial" w:eastAsia="標楷體" w:hAnsi="Arial" w:cs="Arial"/>
          <w:color w:val="000000" w:themeColor="text1"/>
          <w:sz w:val="18"/>
          <w:szCs w:val="18"/>
        </w:rPr>
        <w:t>)</w:t>
      </w:r>
      <w:r w:rsidR="0020197A" w:rsidRPr="006675C9">
        <w:rPr>
          <w:rFonts w:ascii="Arial" w:eastAsia="標楷體" w:hAnsi="標楷體" w:cs="Arial"/>
          <w:color w:val="000000" w:themeColor="text1"/>
          <w:sz w:val="18"/>
          <w:szCs w:val="18"/>
        </w:rPr>
        <w:t>業務規則</w:t>
      </w:r>
      <w:r w:rsidRPr="006675C9">
        <w:rPr>
          <w:rFonts w:ascii="Arial" w:eastAsia="標楷體" w:hAnsi="標楷體" w:cs="Arial"/>
          <w:color w:val="000000" w:themeColor="text1"/>
          <w:sz w:val="18"/>
          <w:szCs w:val="18"/>
        </w:rPr>
        <w:t>及相關規定辦理。依</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現行規定，持有人應先填具「認購</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售</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權證履約申請委託書」委託證券商向</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提出申請，並向證券商預繳履約所需支付之款項。</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規定變更時，依變更後之規定。</w:t>
      </w:r>
    </w:p>
    <w:p w14:paraId="1178E5EE" w14:textId="77777777" w:rsidR="00437444" w:rsidRPr="006675C9" w:rsidRDefault="00B8248C"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請求時間</w:t>
      </w:r>
      <w:r w:rsidRPr="006675C9">
        <w:rPr>
          <w:rFonts w:ascii="Arial" w:eastAsia="標楷體" w:hAnsi="Arial" w:cs="Arial"/>
          <w:color w:val="000000" w:themeColor="text1"/>
          <w:sz w:val="18"/>
          <w:szCs w:val="18"/>
        </w:rPr>
        <w:br/>
      </w:r>
      <w:r w:rsidR="00665CAF" w:rsidRPr="006675C9">
        <w:rPr>
          <w:rFonts w:ascii="Arial" w:eastAsia="標楷體" w:hAnsi="標楷體" w:cs="Arial"/>
          <w:color w:val="000000" w:themeColor="text1"/>
          <w:sz w:val="18"/>
          <w:szCs w:val="18"/>
        </w:rPr>
        <w:t>依</w:t>
      </w:r>
      <w:r w:rsidR="0020197A" w:rsidRPr="006675C9">
        <w:rPr>
          <w:rFonts w:ascii="Arial" w:eastAsia="標楷體" w:hAnsi="標楷體" w:cs="Arial"/>
          <w:color w:val="000000" w:themeColor="text1"/>
          <w:sz w:val="18"/>
          <w:szCs w:val="18"/>
        </w:rPr>
        <w:t>櫃買中心業務規則</w:t>
      </w:r>
      <w:r w:rsidR="00665CAF" w:rsidRPr="006675C9">
        <w:rPr>
          <w:rFonts w:ascii="Arial" w:eastAsia="標楷體" w:hAnsi="標楷體" w:cs="Arial"/>
          <w:color w:val="000000" w:themeColor="text1"/>
          <w:sz w:val="18"/>
          <w:szCs w:val="18"/>
        </w:rPr>
        <w:t>及相關規定辦理。依</w:t>
      </w:r>
      <w:r w:rsidR="0020197A" w:rsidRPr="006675C9">
        <w:rPr>
          <w:rFonts w:ascii="Arial" w:eastAsia="標楷體" w:hAnsi="標楷體" w:cs="Arial"/>
          <w:color w:val="000000" w:themeColor="text1"/>
          <w:sz w:val="18"/>
          <w:szCs w:val="18"/>
        </w:rPr>
        <w:t>櫃買中心</w:t>
      </w:r>
      <w:r w:rsidR="00665CAF" w:rsidRPr="006675C9">
        <w:rPr>
          <w:rFonts w:ascii="Arial" w:eastAsia="標楷體" w:hAnsi="標楷體" w:cs="Arial"/>
          <w:color w:val="000000" w:themeColor="text1"/>
          <w:sz w:val="18"/>
          <w:szCs w:val="18"/>
        </w:rPr>
        <w:t>現行規定，證券商提出申請履約截止時間為：</w:t>
      </w:r>
      <w:r w:rsidR="00F45FE2" w:rsidRPr="006675C9">
        <w:rPr>
          <w:rFonts w:ascii="Arial" w:eastAsia="標楷體" w:hAnsi="標楷體" w:cs="Arial" w:hint="eastAsia"/>
          <w:color w:val="000000" w:themeColor="text1"/>
          <w:sz w:val="18"/>
          <w:szCs w:val="18"/>
        </w:rPr>
        <w:t>週一至週五為下午二時三十分</w:t>
      </w:r>
      <w:r w:rsidR="00665CAF" w:rsidRPr="006675C9">
        <w:rPr>
          <w:rFonts w:ascii="Arial" w:eastAsia="標楷體" w:hAnsi="標楷體" w:cs="Arial"/>
          <w:color w:val="000000" w:themeColor="text1"/>
          <w:sz w:val="18"/>
          <w:szCs w:val="18"/>
        </w:rPr>
        <w:t>；撤銷履約請求之截止時間亦同。</w:t>
      </w:r>
      <w:r w:rsidR="0020197A" w:rsidRPr="006675C9">
        <w:rPr>
          <w:rFonts w:ascii="Arial" w:eastAsia="標楷體" w:hAnsi="標楷體" w:cs="Arial"/>
          <w:color w:val="000000" w:themeColor="text1"/>
          <w:sz w:val="18"/>
          <w:szCs w:val="18"/>
        </w:rPr>
        <w:t>櫃買中心</w:t>
      </w:r>
      <w:r w:rsidR="00665CAF" w:rsidRPr="006675C9">
        <w:rPr>
          <w:rFonts w:ascii="Arial" w:eastAsia="標楷體" w:hAnsi="標楷體" w:cs="Arial"/>
          <w:color w:val="000000" w:themeColor="text1"/>
          <w:sz w:val="18"/>
          <w:szCs w:val="18"/>
        </w:rPr>
        <w:t>規定變更時，依變更後之規定。</w:t>
      </w:r>
    </w:p>
    <w:p w14:paraId="66199754" w14:textId="77777777" w:rsidR="00437444" w:rsidRPr="006675C9" w:rsidRDefault="00B8248C"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請求數量</w:t>
      </w:r>
      <w:r w:rsidRPr="006675C9">
        <w:rPr>
          <w:rFonts w:ascii="Arial" w:eastAsia="標楷體" w:hAnsi="Arial" w:cs="Arial"/>
          <w:color w:val="000000" w:themeColor="text1"/>
          <w:sz w:val="18"/>
          <w:szCs w:val="18"/>
        </w:rPr>
        <w:br/>
      </w:r>
      <w:r w:rsidR="00F45FE2" w:rsidRPr="006675C9">
        <w:rPr>
          <w:rFonts w:ascii="Arial" w:eastAsia="標楷體" w:hAnsi="標楷體" w:cs="Arial" w:hint="eastAsia"/>
          <w:bCs/>
          <w:color w:val="000000" w:themeColor="text1"/>
          <w:sz w:val="18"/>
          <w:szCs w:val="18"/>
        </w:rPr>
        <w:t>持有人請求履約時，不論發行人以證券給付或現金結算方式履約，均應為一千單位或其整倍數之認購權證。</w:t>
      </w:r>
    </w:p>
    <w:p w14:paraId="7ECF505F" w14:textId="77777777" w:rsidR="00CB03EE" w:rsidRPr="006675C9" w:rsidRDefault="00CB03EE"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持有人請求履約時，</w:t>
      </w:r>
      <w:r w:rsidR="00F45FE2" w:rsidRPr="006675C9">
        <w:rPr>
          <w:rFonts w:ascii="Arial" w:eastAsia="標楷體" w:hAnsi="標楷體" w:cs="Arial" w:hint="eastAsia"/>
          <w:color w:val="000000" w:themeColor="text1"/>
          <w:sz w:val="18"/>
          <w:szCs w:val="18"/>
        </w:rPr>
        <w:t>不論發行人以證券給付或現金結算方式履約，均</w:t>
      </w:r>
      <w:r w:rsidRPr="006675C9">
        <w:rPr>
          <w:rFonts w:ascii="Arial" w:eastAsia="標楷體" w:hAnsi="標楷體" w:cs="Arial"/>
          <w:color w:val="000000" w:themeColor="text1"/>
          <w:sz w:val="18"/>
          <w:szCs w:val="18"/>
        </w:rPr>
        <w:t>應依</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規定，按</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履約價格乘以標的證券數量計算金額，由證券商依規定費率向持有人收取手續費。</w:t>
      </w:r>
    </w:p>
    <w:p w14:paraId="724B4B10" w14:textId="77777777" w:rsidR="00437444" w:rsidRPr="006675C9" w:rsidRDefault="00FF56AE"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持有人與證券商間有關權證履約之款項，均不得與櫃檯買賣</w:t>
      </w:r>
      <w:r w:rsidR="00B8248C" w:rsidRPr="006675C9">
        <w:rPr>
          <w:rFonts w:ascii="Arial" w:eastAsia="標楷體" w:hAnsi="標楷體" w:cs="Arial"/>
          <w:color w:val="000000" w:themeColor="text1"/>
          <w:sz w:val="18"/>
          <w:szCs w:val="18"/>
        </w:rPr>
        <w:t>市場有價證券買賣之交割互抵。</w:t>
      </w:r>
    </w:p>
    <w:p w14:paraId="4D8B9D12" w14:textId="77777777" w:rsidR="00437444" w:rsidRPr="006675C9" w:rsidRDefault="00F45FE2"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hint="eastAsia"/>
          <w:bCs/>
          <w:color w:val="000000" w:themeColor="text1"/>
          <w:sz w:val="18"/>
          <w:szCs w:val="18"/>
        </w:rPr>
        <w:t>認購權證</w:t>
      </w:r>
      <w:r w:rsidR="00B8248C" w:rsidRPr="006675C9">
        <w:rPr>
          <w:rFonts w:ascii="Arial" w:eastAsia="標楷體" w:hAnsi="標楷體" w:cs="Arial"/>
          <w:color w:val="000000" w:themeColor="text1"/>
          <w:sz w:val="18"/>
          <w:szCs w:val="18"/>
        </w:rPr>
        <w:t>之履約、履約查詢及款券收付作業經由</w:t>
      </w:r>
      <w:r w:rsidR="0020197A" w:rsidRPr="006675C9">
        <w:rPr>
          <w:rFonts w:ascii="Arial" w:eastAsia="標楷體" w:hAnsi="標楷體" w:cs="Arial"/>
          <w:color w:val="000000" w:themeColor="text1"/>
          <w:sz w:val="18"/>
          <w:szCs w:val="18"/>
        </w:rPr>
        <w:t>櫃買中心</w:t>
      </w:r>
      <w:r w:rsidR="00B8248C" w:rsidRPr="006675C9">
        <w:rPr>
          <w:rFonts w:ascii="Arial" w:eastAsia="標楷體" w:hAnsi="標楷體" w:cs="Arial"/>
          <w:color w:val="000000" w:themeColor="text1"/>
          <w:sz w:val="18"/>
          <w:szCs w:val="18"/>
        </w:rPr>
        <w:t>及臺灣集中保管結算所股份有限公司（以下簡稱臺灣集中保管結算所）辦理。</w:t>
      </w:r>
    </w:p>
    <w:p w14:paraId="0015A9EA" w14:textId="77777777" w:rsidR="00B8248C" w:rsidRPr="006675C9" w:rsidRDefault="00B8248C" w:rsidP="006675C9">
      <w:pPr>
        <w:numPr>
          <w:ilvl w:val="0"/>
          <w:numId w:val="8"/>
        </w:numPr>
        <w:tabs>
          <w:tab w:val="clear" w:pos="1650"/>
        </w:tabs>
        <w:snapToGrid w:val="0"/>
        <w:spacing w:line="200" w:lineRule="exact"/>
        <w:ind w:leftChars="100" w:left="360" w:hanging="120"/>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lastRenderedPageBreak/>
        <w:t>發行人就受託請求履約證券商之行為不負責任。</w:t>
      </w:r>
    </w:p>
    <w:p w14:paraId="5A241879" w14:textId="77777777" w:rsidR="009B60F1" w:rsidRPr="006675C9" w:rsidRDefault="009B60F1" w:rsidP="006675C9">
      <w:pPr>
        <w:numPr>
          <w:ilvl w:val="4"/>
          <w:numId w:val="4"/>
        </w:numPr>
        <w:tabs>
          <w:tab w:val="clear" w:pos="2340"/>
          <w:tab w:val="left" w:pos="48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履約給付</w:t>
      </w:r>
    </w:p>
    <w:p w14:paraId="35CBC914" w14:textId="77777777" w:rsidR="00437444" w:rsidRPr="006675C9" w:rsidRDefault="00507020" w:rsidP="00507020">
      <w:pPr>
        <w:tabs>
          <w:tab w:val="left" w:pos="600"/>
        </w:tabs>
        <w:snapToGrid w:val="0"/>
        <w:spacing w:line="200" w:lineRule="exact"/>
        <w:ind w:leftChars="145" w:left="528" w:hangingChars="100" w:hanging="180"/>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1.</w:t>
      </w:r>
      <w:r w:rsidR="0032057F" w:rsidRPr="006675C9">
        <w:rPr>
          <w:rFonts w:ascii="Arial" w:eastAsia="標楷體" w:hAnsi="標楷體" w:cs="Arial"/>
          <w:color w:val="000000" w:themeColor="text1"/>
          <w:sz w:val="18"/>
          <w:szCs w:val="18"/>
        </w:rPr>
        <w:t>發行人於接獲請求履約通知時，就當日請求履約之</w:t>
      </w:r>
      <w:r w:rsidR="00F45FE2" w:rsidRPr="006675C9">
        <w:rPr>
          <w:rFonts w:ascii="Arial" w:eastAsia="標楷體" w:hAnsi="標楷體" w:cs="Arial" w:hint="eastAsia"/>
          <w:color w:val="000000" w:themeColor="text1"/>
          <w:sz w:val="18"/>
          <w:szCs w:val="18"/>
        </w:rPr>
        <w:t>認購權證得選擇全部或部分以現金結算方式履約</w:t>
      </w:r>
      <w:r w:rsidR="0032057F" w:rsidRPr="006675C9">
        <w:rPr>
          <w:rFonts w:ascii="Arial" w:eastAsia="標楷體" w:hAnsi="標楷體" w:cs="Arial"/>
          <w:color w:val="000000" w:themeColor="text1"/>
          <w:sz w:val="18"/>
          <w:szCs w:val="18"/>
        </w:rPr>
        <w:t>，並依</w:t>
      </w:r>
      <w:r w:rsidR="0020197A" w:rsidRPr="006675C9">
        <w:rPr>
          <w:rFonts w:ascii="Arial" w:eastAsia="標楷體" w:hAnsi="標楷體" w:cs="Arial"/>
          <w:color w:val="000000" w:themeColor="text1"/>
          <w:sz w:val="18"/>
          <w:szCs w:val="18"/>
        </w:rPr>
        <w:t>櫃買中心</w:t>
      </w:r>
      <w:r w:rsidR="0032057F" w:rsidRPr="006675C9">
        <w:rPr>
          <w:rFonts w:ascii="Arial" w:eastAsia="標楷體" w:hAnsi="標楷體" w:cs="Arial"/>
          <w:color w:val="000000" w:themeColor="text1"/>
          <w:sz w:val="18"/>
          <w:szCs w:val="18"/>
        </w:rPr>
        <w:t>及臺灣集中保管結算所之規定，通知</w:t>
      </w:r>
      <w:r w:rsidR="0020197A" w:rsidRPr="006675C9">
        <w:rPr>
          <w:rFonts w:ascii="Arial" w:eastAsia="標楷體" w:hAnsi="標楷體" w:cs="Arial"/>
          <w:color w:val="000000" w:themeColor="text1"/>
          <w:sz w:val="18"/>
          <w:szCs w:val="18"/>
        </w:rPr>
        <w:t>櫃買中心</w:t>
      </w:r>
      <w:r w:rsidR="0032057F" w:rsidRPr="006675C9">
        <w:rPr>
          <w:rFonts w:ascii="Arial" w:eastAsia="標楷體" w:hAnsi="標楷體" w:cs="Arial"/>
          <w:color w:val="000000" w:themeColor="text1"/>
          <w:sz w:val="18"/>
          <w:szCs w:val="18"/>
        </w:rPr>
        <w:t>或臺灣集中保管結算所。</w:t>
      </w:r>
    </w:p>
    <w:p w14:paraId="65EDD3B0" w14:textId="77777777" w:rsidR="00437444" w:rsidRPr="006675C9" w:rsidRDefault="00507020" w:rsidP="00507020">
      <w:pPr>
        <w:tabs>
          <w:tab w:val="left" w:pos="600"/>
        </w:tabs>
        <w:snapToGrid w:val="0"/>
        <w:spacing w:line="200" w:lineRule="exact"/>
        <w:ind w:leftChars="145" w:left="528" w:hangingChars="100" w:hanging="180"/>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2.</w:t>
      </w:r>
      <w:r w:rsidR="00F45FE2" w:rsidRPr="006675C9">
        <w:rPr>
          <w:rFonts w:ascii="Arial" w:eastAsia="標楷體" w:hAnsi="標楷體" w:cs="Arial" w:hint="eastAsia"/>
          <w:color w:val="000000" w:themeColor="text1"/>
          <w:sz w:val="18"/>
          <w:szCs w:val="18"/>
        </w:rPr>
        <w:t>同一營業日發行人以部分證券給付、部分現金結算方式履約時，以證券商向櫃買中心提出履約申請之時序較優先者，先行採證券給付方式。櫃買中心規定變更時，依變更後之規定。</w:t>
      </w:r>
    </w:p>
    <w:p w14:paraId="6FDEF574" w14:textId="77777777" w:rsidR="0032057F" w:rsidRPr="006675C9" w:rsidRDefault="00507020" w:rsidP="00507020">
      <w:pPr>
        <w:tabs>
          <w:tab w:val="left" w:pos="600"/>
        </w:tabs>
        <w:snapToGrid w:val="0"/>
        <w:spacing w:line="200" w:lineRule="exact"/>
        <w:ind w:leftChars="145" w:left="528" w:hangingChars="100" w:hanging="180"/>
        <w:jc w:val="both"/>
        <w:rPr>
          <w:rFonts w:ascii="Arial" w:eastAsia="標楷體" w:hAnsi="Arial" w:cs="Arial"/>
          <w:color w:val="000000" w:themeColor="text1"/>
          <w:sz w:val="18"/>
          <w:szCs w:val="18"/>
        </w:rPr>
      </w:pPr>
      <w:r>
        <w:rPr>
          <w:rFonts w:ascii="Arial" w:eastAsia="標楷體" w:hAnsi="標楷體" w:cs="Arial" w:hint="eastAsia"/>
          <w:color w:val="000000" w:themeColor="text1"/>
          <w:sz w:val="18"/>
          <w:szCs w:val="18"/>
        </w:rPr>
        <w:t>3.</w:t>
      </w:r>
      <w:r w:rsidR="00F45FE2" w:rsidRPr="006675C9">
        <w:rPr>
          <w:rFonts w:ascii="Arial" w:eastAsia="標楷體" w:hAnsi="標楷體" w:cs="Arial" w:hint="eastAsia"/>
          <w:color w:val="000000" w:themeColor="text1"/>
          <w:sz w:val="18"/>
          <w:szCs w:val="18"/>
        </w:rPr>
        <w:t>倘認購權證具履約價值且發行人選擇現金結算時，則發行人應按持有人行使權利請求履約當日標的證券收盤價格減履約價格之差價乘以行使比例計算每單位權證所得金額給付持有人之委任證券商。</w:t>
      </w:r>
    </w:p>
    <w:p w14:paraId="577B6045" w14:textId="77777777" w:rsidR="009B60F1" w:rsidRPr="006675C9" w:rsidRDefault="009B60F1" w:rsidP="006675C9">
      <w:pPr>
        <w:numPr>
          <w:ilvl w:val="4"/>
          <w:numId w:val="4"/>
        </w:numPr>
        <w:tabs>
          <w:tab w:val="clear" w:pos="2340"/>
          <w:tab w:val="left" w:pos="48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停止請求履約</w:t>
      </w:r>
    </w:p>
    <w:p w14:paraId="33291E18" w14:textId="77777777" w:rsidR="009B60F1" w:rsidRPr="006675C9" w:rsidRDefault="00D44617" w:rsidP="006675C9">
      <w:pPr>
        <w:pStyle w:val="a5"/>
        <w:snapToGrid w:val="0"/>
        <w:spacing w:line="200" w:lineRule="exact"/>
        <w:ind w:left="480" w:hanging="1"/>
        <w:rPr>
          <w:rFonts w:ascii="Arial" w:hAnsi="Arial" w:cs="Arial"/>
          <w:color w:val="000000" w:themeColor="text1"/>
          <w:sz w:val="18"/>
          <w:szCs w:val="18"/>
        </w:rPr>
      </w:pPr>
      <w:r w:rsidRPr="006675C9">
        <w:rPr>
          <w:rFonts w:ascii="Arial" w:hAnsi="標楷體" w:cs="Arial"/>
          <w:color w:val="000000" w:themeColor="text1"/>
          <w:sz w:val="18"/>
          <w:szCs w:val="18"/>
        </w:rPr>
        <w:t>標的證券在交易市場終止</w:t>
      </w:r>
      <w:r w:rsidR="0020197A" w:rsidRPr="006675C9">
        <w:rPr>
          <w:rFonts w:ascii="Arial" w:hAnsi="標楷體" w:cs="Arial"/>
          <w:color w:val="000000" w:themeColor="text1"/>
          <w:sz w:val="18"/>
          <w:szCs w:val="18"/>
        </w:rPr>
        <w:t>上櫃</w:t>
      </w:r>
      <w:r w:rsidRPr="006675C9">
        <w:rPr>
          <w:rFonts w:ascii="Arial" w:hAnsi="標楷體" w:cs="Arial"/>
          <w:color w:val="000000" w:themeColor="text1"/>
          <w:sz w:val="18"/>
          <w:szCs w:val="18"/>
        </w:rPr>
        <w:t>，或本</w:t>
      </w:r>
      <w:r w:rsidR="00F45FE2" w:rsidRPr="006675C9">
        <w:rPr>
          <w:rFonts w:ascii="Arial" w:hAnsi="標楷體" w:cs="Arial" w:hint="eastAsia"/>
          <w:color w:val="000000" w:themeColor="text1"/>
          <w:sz w:val="18"/>
          <w:szCs w:val="18"/>
        </w:rPr>
        <w:t>認購權證</w:t>
      </w:r>
      <w:r w:rsidRPr="006675C9">
        <w:rPr>
          <w:rFonts w:ascii="Arial" w:hAnsi="標楷體" w:cs="Arial"/>
          <w:color w:val="000000" w:themeColor="text1"/>
          <w:sz w:val="18"/>
          <w:szCs w:val="18"/>
        </w:rPr>
        <w:t>在交易市場終止</w:t>
      </w:r>
      <w:r w:rsidR="0020197A" w:rsidRPr="006675C9">
        <w:rPr>
          <w:rFonts w:ascii="Arial" w:hAnsi="標楷體" w:cs="Arial"/>
          <w:color w:val="000000" w:themeColor="text1"/>
          <w:sz w:val="18"/>
          <w:szCs w:val="18"/>
        </w:rPr>
        <w:t>上櫃</w:t>
      </w:r>
      <w:r w:rsidRPr="006675C9">
        <w:rPr>
          <w:rFonts w:ascii="Arial" w:hAnsi="標楷體" w:cs="Arial"/>
          <w:color w:val="000000" w:themeColor="text1"/>
          <w:sz w:val="18"/>
          <w:szCs w:val="18"/>
        </w:rPr>
        <w:t>，本權證停止請求履約，並依本發行計畫</w:t>
      </w:r>
      <w:r w:rsidR="009B60F1" w:rsidRPr="006675C9">
        <w:rPr>
          <w:rFonts w:ascii="Arial" w:hAnsi="標楷體" w:cs="Arial"/>
          <w:color w:val="000000" w:themeColor="text1"/>
          <w:sz w:val="18"/>
          <w:szCs w:val="18"/>
        </w:rPr>
        <w:t>相關規定辦理。</w:t>
      </w:r>
    </w:p>
    <w:p w14:paraId="4B744F31" w14:textId="77777777" w:rsidR="009B60F1" w:rsidRPr="006675C9" w:rsidRDefault="00B51412" w:rsidP="006675C9">
      <w:pPr>
        <w:numPr>
          <w:ilvl w:val="4"/>
          <w:numId w:val="4"/>
        </w:numPr>
        <w:tabs>
          <w:tab w:val="clear" w:pos="2340"/>
          <w:tab w:val="left" w:pos="48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經發行人依</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及</w:t>
      </w:r>
      <w:r w:rsidR="008279B8" w:rsidRPr="006675C9">
        <w:rPr>
          <w:rFonts w:ascii="Arial" w:eastAsia="標楷體" w:hAnsi="標楷體" w:cs="Arial"/>
          <w:color w:val="000000" w:themeColor="text1"/>
          <w:sz w:val="18"/>
          <w:szCs w:val="18"/>
        </w:rPr>
        <w:t>臺</w:t>
      </w:r>
      <w:r w:rsidRPr="006675C9">
        <w:rPr>
          <w:rFonts w:ascii="Arial" w:eastAsia="標楷體" w:hAnsi="標楷體" w:cs="Arial"/>
          <w:color w:val="000000" w:themeColor="text1"/>
          <w:sz w:val="18"/>
          <w:szCs w:val="18"/>
        </w:rPr>
        <w:t>灣集中保管結算所</w:t>
      </w:r>
      <w:r w:rsidR="009B60F1" w:rsidRPr="006675C9">
        <w:rPr>
          <w:rFonts w:ascii="Arial" w:eastAsia="標楷體" w:hAnsi="標楷體" w:cs="Arial"/>
          <w:color w:val="000000" w:themeColor="text1"/>
          <w:sz w:val="18"/>
          <w:szCs w:val="18"/>
        </w:rPr>
        <w:t>規定將應給付持有人之款券辦理交割完畢時，發行人即為履行契約責任。</w:t>
      </w:r>
    </w:p>
    <w:p w14:paraId="480EE7C9" w14:textId="77777777" w:rsidR="009B60F1" w:rsidRPr="006675C9" w:rsidRDefault="009B60F1" w:rsidP="006675C9">
      <w:pPr>
        <w:numPr>
          <w:ilvl w:val="4"/>
          <w:numId w:val="4"/>
        </w:numPr>
        <w:tabs>
          <w:tab w:val="clear" w:pos="234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本</w:t>
      </w:r>
      <w:r w:rsidR="00F45FE2" w:rsidRPr="006675C9">
        <w:rPr>
          <w:rFonts w:ascii="Arial" w:eastAsia="標楷體" w:hAnsi="標楷體" w:cs="Arial" w:hint="eastAsia"/>
          <w:color w:val="000000" w:themeColor="text1"/>
          <w:sz w:val="18"/>
          <w:szCs w:val="18"/>
        </w:rPr>
        <w:t>認購權證</w:t>
      </w:r>
      <w:r w:rsidR="0032057F" w:rsidRPr="006675C9">
        <w:rPr>
          <w:rFonts w:ascii="Arial" w:eastAsia="標楷體" w:hAnsi="標楷體" w:cs="Arial"/>
          <w:color w:val="000000" w:themeColor="text1"/>
          <w:sz w:val="18"/>
          <w:szCs w:val="18"/>
        </w:rPr>
        <w:t>存續期間屆滿日或視為到期日，持有人未請求履約者，</w:t>
      </w:r>
      <w:r w:rsidR="00F45FE2" w:rsidRPr="006675C9">
        <w:rPr>
          <w:rFonts w:ascii="Arial" w:eastAsia="標楷體" w:hAnsi="標楷體" w:cs="Arial" w:hint="eastAsia"/>
          <w:color w:val="000000" w:themeColor="text1"/>
          <w:sz w:val="18"/>
          <w:szCs w:val="18"/>
        </w:rPr>
        <w:t>認購權證</w:t>
      </w:r>
      <w:r w:rsidR="0032057F" w:rsidRPr="006675C9">
        <w:rPr>
          <w:rFonts w:ascii="Arial" w:eastAsia="標楷體" w:hAnsi="標楷體" w:cs="Arial"/>
          <w:color w:val="000000" w:themeColor="text1"/>
          <w:sz w:val="18"/>
          <w:szCs w:val="18"/>
        </w:rPr>
        <w:t>失其效力，除本發行計畫另有規定外，發行人對本</w:t>
      </w:r>
      <w:r w:rsidR="00F45FE2" w:rsidRPr="006675C9">
        <w:rPr>
          <w:rFonts w:ascii="Arial" w:eastAsia="標楷體" w:hAnsi="標楷體" w:cs="Arial" w:hint="eastAsia"/>
          <w:color w:val="000000" w:themeColor="text1"/>
          <w:sz w:val="18"/>
          <w:szCs w:val="18"/>
        </w:rPr>
        <w:t>認購權證</w:t>
      </w:r>
      <w:r w:rsidR="0032057F" w:rsidRPr="006675C9">
        <w:rPr>
          <w:rFonts w:ascii="Arial" w:eastAsia="標楷體" w:hAnsi="標楷體" w:cs="Arial"/>
          <w:color w:val="000000" w:themeColor="text1"/>
          <w:sz w:val="18"/>
          <w:szCs w:val="18"/>
        </w:rPr>
        <w:t>不</w:t>
      </w:r>
      <w:r w:rsidRPr="006675C9">
        <w:rPr>
          <w:rFonts w:ascii="Arial" w:eastAsia="標楷體" w:hAnsi="標楷體" w:cs="Arial"/>
          <w:color w:val="000000" w:themeColor="text1"/>
          <w:sz w:val="18"/>
          <w:szCs w:val="18"/>
        </w:rPr>
        <w:t>負任何責任。</w:t>
      </w:r>
    </w:p>
    <w:p w14:paraId="7EDEF3D1" w14:textId="77777777" w:rsidR="009B60F1" w:rsidRPr="006675C9" w:rsidRDefault="009B60F1" w:rsidP="006675C9">
      <w:pPr>
        <w:numPr>
          <w:ilvl w:val="4"/>
          <w:numId w:val="4"/>
        </w:numPr>
        <w:tabs>
          <w:tab w:val="clear" w:pos="234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發行人因履約而收回之</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應予註銷。</w:t>
      </w:r>
    </w:p>
    <w:p w14:paraId="4A3C850C" w14:textId="77777777" w:rsidR="009B60F1" w:rsidRPr="006675C9" w:rsidRDefault="009B60F1" w:rsidP="006675C9">
      <w:pPr>
        <w:numPr>
          <w:ilvl w:val="4"/>
          <w:numId w:val="4"/>
        </w:numPr>
        <w:tabs>
          <w:tab w:val="clear" w:pos="2340"/>
        </w:tabs>
        <w:snapToGrid w:val="0"/>
        <w:spacing w:line="200" w:lineRule="exact"/>
        <w:ind w:left="480" w:hanging="36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其他買賣及履約相關事項，依</w:t>
      </w:r>
      <w:r w:rsidR="0020197A" w:rsidRPr="006675C9">
        <w:rPr>
          <w:rFonts w:ascii="Arial" w:eastAsia="標楷體" w:hAnsi="標楷體" w:cs="Arial"/>
          <w:color w:val="000000" w:themeColor="text1"/>
          <w:sz w:val="18"/>
          <w:szCs w:val="18"/>
        </w:rPr>
        <w:t>櫃買中心業務規則</w:t>
      </w:r>
      <w:r w:rsidRPr="006675C9">
        <w:rPr>
          <w:rFonts w:ascii="Arial" w:eastAsia="標楷體" w:hAnsi="標楷體" w:cs="Arial"/>
          <w:color w:val="000000" w:themeColor="text1"/>
          <w:sz w:val="18"/>
          <w:szCs w:val="18"/>
        </w:rPr>
        <w:t>及認購</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售</w:t>
      </w:r>
      <w:r w:rsidRPr="006675C9">
        <w:rPr>
          <w:rFonts w:ascii="Arial" w:eastAsia="標楷體" w:hAnsi="Arial" w:cs="Arial"/>
          <w:color w:val="000000" w:themeColor="text1"/>
          <w:sz w:val="18"/>
          <w:szCs w:val="18"/>
        </w:rPr>
        <w:t>)</w:t>
      </w:r>
      <w:r w:rsidRPr="006675C9">
        <w:rPr>
          <w:rFonts w:ascii="Arial" w:eastAsia="標楷體" w:hAnsi="標楷體" w:cs="Arial"/>
          <w:color w:val="000000" w:themeColor="text1"/>
          <w:sz w:val="18"/>
          <w:szCs w:val="18"/>
        </w:rPr>
        <w:t>權證相關規章辦理。</w:t>
      </w:r>
    </w:p>
    <w:p w14:paraId="0EC8FB66" w14:textId="77777777" w:rsidR="009B60F1" w:rsidRPr="006675C9" w:rsidRDefault="009B60F1" w:rsidP="006675C9">
      <w:pPr>
        <w:numPr>
          <w:ilvl w:val="0"/>
          <w:numId w:val="3"/>
        </w:numPr>
        <w:tabs>
          <w:tab w:val="clear" w:pos="482"/>
          <w:tab w:val="num" w:pos="360"/>
        </w:tabs>
        <w:snapToGrid w:val="0"/>
        <w:spacing w:line="200" w:lineRule="exact"/>
        <w:ind w:left="1796" w:hanging="1796"/>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預定之風險沖銷策略</w:t>
      </w:r>
    </w:p>
    <w:p w14:paraId="4F6129F5" w14:textId="77777777" w:rsidR="009B60F1" w:rsidRPr="006675C9" w:rsidRDefault="009B60F1" w:rsidP="006675C9">
      <w:pPr>
        <w:snapToGrid w:val="0"/>
        <w:spacing w:line="200" w:lineRule="exact"/>
        <w:ind w:left="180"/>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本公司未來將針對標的股價格及波動性進行避險，所擬採取之風險沖銷策略明細如下</w:t>
      </w:r>
      <w:r w:rsidRPr="006675C9">
        <w:rPr>
          <w:rFonts w:ascii="Arial" w:eastAsia="標楷體" w:hAnsi="Arial" w:cs="Arial"/>
          <w:color w:val="000000" w:themeColor="text1"/>
          <w:sz w:val="18"/>
          <w:szCs w:val="18"/>
        </w:rPr>
        <w:t>:</w:t>
      </w:r>
    </w:p>
    <w:p w14:paraId="5D9374CB" w14:textId="77777777" w:rsidR="006E5BDC" w:rsidRPr="006675C9" w:rsidRDefault="002330BB" w:rsidP="006675C9">
      <w:pPr>
        <w:numPr>
          <w:ilvl w:val="0"/>
          <w:numId w:val="5"/>
        </w:numPr>
        <w:tabs>
          <w:tab w:val="clear" w:pos="541"/>
          <w:tab w:val="num" w:pos="480"/>
        </w:tabs>
        <w:snapToGrid w:val="0"/>
        <w:spacing w:line="200" w:lineRule="exact"/>
        <w:ind w:hanging="421"/>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標的股價格沖銷策略以標的證券為主</w:t>
      </w:r>
    </w:p>
    <w:p w14:paraId="7CF472F3" w14:textId="77777777" w:rsidR="009B60F1" w:rsidRPr="006675C9" w:rsidRDefault="009B60F1" w:rsidP="006675C9">
      <w:pPr>
        <w:numPr>
          <w:ilvl w:val="0"/>
          <w:numId w:val="5"/>
        </w:numPr>
        <w:tabs>
          <w:tab w:val="clear" w:pos="541"/>
          <w:tab w:val="num" w:pos="480"/>
        </w:tabs>
        <w:snapToGrid w:val="0"/>
        <w:spacing w:line="200" w:lineRule="exact"/>
        <w:ind w:hanging="421"/>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波動性風險沖銷策略以本公司所發行的</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為主，標的證券所發行的轉換公司債為輔</w:t>
      </w:r>
    </w:p>
    <w:p w14:paraId="48EAC100" w14:textId="77777777" w:rsidR="00B25572" w:rsidRPr="006675C9" w:rsidRDefault="00B25572" w:rsidP="006675C9">
      <w:pPr>
        <w:numPr>
          <w:ilvl w:val="0"/>
          <w:numId w:val="3"/>
        </w:numPr>
        <w:tabs>
          <w:tab w:val="clear" w:pos="482"/>
          <w:tab w:val="num" w:pos="360"/>
        </w:tabs>
        <w:snapToGrid w:val="0"/>
        <w:spacing w:line="200" w:lineRule="exact"/>
        <w:ind w:left="1796" w:hanging="1796"/>
        <w:rPr>
          <w:rFonts w:ascii="Arial" w:eastAsia="標楷體" w:hAnsi="標楷體" w:cs="Arial"/>
          <w:b/>
          <w:color w:val="000000" w:themeColor="text1"/>
          <w:sz w:val="18"/>
          <w:szCs w:val="18"/>
        </w:rPr>
      </w:pPr>
      <w:r w:rsidRPr="006675C9">
        <w:rPr>
          <w:rFonts w:ascii="Arial" w:eastAsia="標楷體" w:hAnsi="標楷體" w:cs="Arial" w:hint="eastAsia"/>
          <w:b/>
          <w:color w:val="000000" w:themeColor="text1"/>
          <w:sz w:val="18"/>
          <w:szCs w:val="18"/>
        </w:rPr>
        <w:t>履約價格及行使比例之調整</w:t>
      </w:r>
      <w:r w:rsidRPr="006675C9">
        <w:rPr>
          <w:rFonts w:ascii="Arial" w:eastAsia="標楷體" w:hAnsi="標楷體" w:cs="Arial" w:hint="eastAsia"/>
          <w:b/>
          <w:color w:val="000000" w:themeColor="text1"/>
          <w:sz w:val="18"/>
          <w:szCs w:val="18"/>
        </w:rPr>
        <w:t>(</w:t>
      </w:r>
      <w:r w:rsidRPr="006675C9">
        <w:rPr>
          <w:rFonts w:ascii="Arial" w:eastAsia="標楷體" w:hAnsi="標楷體" w:cs="Arial" w:hint="eastAsia"/>
          <w:b/>
          <w:color w:val="000000" w:themeColor="text1"/>
          <w:sz w:val="18"/>
          <w:szCs w:val="18"/>
        </w:rPr>
        <w:t>發行人未依櫃買中心參考調整公式訂定</w:t>
      </w:r>
      <w:r w:rsidRPr="006675C9">
        <w:rPr>
          <w:rFonts w:ascii="Arial" w:eastAsia="標楷體" w:hAnsi="標楷體" w:cs="Arial" w:hint="eastAsia"/>
          <w:b/>
          <w:color w:val="000000" w:themeColor="text1"/>
          <w:sz w:val="18"/>
          <w:szCs w:val="18"/>
        </w:rPr>
        <w:t>)</w:t>
      </w:r>
    </w:p>
    <w:p w14:paraId="70FAE60D"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符號說明：</w:t>
      </w:r>
    </w:p>
    <w:p w14:paraId="645884BF" w14:textId="77777777" w:rsidR="00B62DA3"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S</w:t>
      </w:r>
      <w:r w:rsidRPr="006675C9">
        <w:rPr>
          <w:rFonts w:ascii="Arial" w:eastAsia="標楷體" w:hAnsi="標楷體" w:cs="Arial" w:hint="eastAsia"/>
          <w:color w:val="000000" w:themeColor="text1"/>
          <w:sz w:val="18"/>
          <w:szCs w:val="18"/>
        </w:rPr>
        <w:t>：</w:t>
      </w:r>
      <w:r w:rsidR="00B62DA3" w:rsidRPr="00B62DA3">
        <w:rPr>
          <w:rFonts w:ascii="Arial" w:eastAsia="標楷體" w:hAnsi="標楷體" w:cs="Arial" w:hint="eastAsia"/>
          <w:color w:val="000000" w:themeColor="text1"/>
          <w:sz w:val="18"/>
          <w:szCs w:val="18"/>
        </w:rPr>
        <w:t>除權（息）交易日前一日標的證券收盤價、減資時最後交易日收盤價、變更股票面額之舊股票最後交易日收盤價或指數股票型基金</w:t>
      </w:r>
      <w:r w:rsidR="00B62DA3" w:rsidRPr="00B62DA3">
        <w:rPr>
          <w:rFonts w:ascii="Arial" w:eastAsia="標楷體" w:hAnsi="標楷體" w:cs="Arial" w:hint="eastAsia"/>
          <w:color w:val="000000" w:themeColor="text1"/>
          <w:sz w:val="18"/>
          <w:szCs w:val="18"/>
        </w:rPr>
        <w:t>(ETF)</w:t>
      </w:r>
    </w:p>
    <w:p w14:paraId="32E96F53" w14:textId="77777777" w:rsidR="00B25572" w:rsidRPr="00B62DA3" w:rsidRDefault="00B62DA3"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B62DA3">
        <w:rPr>
          <w:rFonts w:ascii="Arial" w:eastAsia="標楷體" w:hAnsi="標楷體" w:cs="Arial" w:hint="eastAsia"/>
          <w:color w:val="000000" w:themeColor="text1"/>
          <w:sz w:val="18"/>
          <w:szCs w:val="18"/>
        </w:rPr>
        <w:t>分割、反分割前最後交易日收盤價</w:t>
      </w:r>
    </w:p>
    <w:p w14:paraId="4060981F" w14:textId="77777777" w:rsidR="00B62DA3"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S'</w:t>
      </w:r>
      <w:r w:rsidRPr="006675C9">
        <w:rPr>
          <w:rFonts w:ascii="Arial" w:eastAsia="標楷體" w:hAnsi="標楷體" w:cs="Arial" w:hint="eastAsia"/>
          <w:color w:val="000000" w:themeColor="text1"/>
          <w:sz w:val="18"/>
          <w:szCs w:val="18"/>
        </w:rPr>
        <w:t>：</w:t>
      </w:r>
      <w:r w:rsidR="00B62DA3" w:rsidRPr="00B62DA3">
        <w:rPr>
          <w:rFonts w:ascii="Arial" w:eastAsia="標楷體" w:hAnsi="標楷體" w:cs="Arial" w:hint="eastAsia"/>
          <w:color w:val="000000" w:themeColor="text1"/>
          <w:sz w:val="18"/>
          <w:szCs w:val="18"/>
        </w:rPr>
        <w:t>除權（息）交易日標的證券參考價、減資參考價、變更股票面額之新股票上市開始買賣日參考價或指數股票型基金</w:t>
      </w:r>
      <w:r w:rsidR="00B62DA3" w:rsidRPr="00B62DA3">
        <w:rPr>
          <w:rFonts w:ascii="Arial" w:eastAsia="標楷體" w:hAnsi="標楷體" w:cs="Arial" w:hint="eastAsia"/>
          <w:color w:val="000000" w:themeColor="text1"/>
          <w:sz w:val="18"/>
          <w:szCs w:val="18"/>
        </w:rPr>
        <w:t>(ETF)</w:t>
      </w:r>
      <w:r w:rsidR="00B62DA3" w:rsidRPr="00B62DA3">
        <w:rPr>
          <w:rFonts w:ascii="Arial" w:eastAsia="標楷體" w:hAnsi="標楷體" w:cs="Arial" w:hint="eastAsia"/>
          <w:color w:val="000000" w:themeColor="text1"/>
          <w:sz w:val="18"/>
          <w:szCs w:val="18"/>
        </w:rPr>
        <w:t>分割、反分</w:t>
      </w:r>
    </w:p>
    <w:p w14:paraId="54B8B65A" w14:textId="77777777" w:rsidR="00B25572" w:rsidRPr="00B62DA3" w:rsidRDefault="00B62DA3"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B62DA3">
        <w:rPr>
          <w:rFonts w:ascii="Arial" w:eastAsia="標楷體" w:hAnsi="標楷體" w:cs="Arial" w:hint="eastAsia"/>
          <w:color w:val="000000" w:themeColor="text1"/>
          <w:sz w:val="18"/>
          <w:szCs w:val="18"/>
        </w:rPr>
        <w:t>割參考價</w:t>
      </w:r>
    </w:p>
    <w:p w14:paraId="4D387369"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K</w:t>
      </w:r>
      <w:r w:rsidRPr="006675C9">
        <w:rPr>
          <w:rFonts w:ascii="Arial" w:eastAsia="標楷體" w:hAnsi="標楷體" w:cs="Arial" w:hint="eastAsia"/>
          <w:color w:val="000000" w:themeColor="text1"/>
          <w:sz w:val="18"/>
          <w:szCs w:val="18"/>
        </w:rPr>
        <w:t>：調整前之履約價格</w:t>
      </w:r>
      <w:r w:rsidRPr="006675C9">
        <w:rPr>
          <w:rFonts w:ascii="Arial" w:eastAsia="標楷體" w:hAnsi="標楷體" w:cs="Arial" w:hint="eastAsia"/>
          <w:color w:val="000000" w:themeColor="text1"/>
          <w:sz w:val="18"/>
          <w:szCs w:val="18"/>
        </w:rPr>
        <w:t xml:space="preserve">          </w:t>
      </w:r>
    </w:p>
    <w:p w14:paraId="09B05F63"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K'</w:t>
      </w:r>
      <w:r w:rsidRPr="006675C9">
        <w:rPr>
          <w:rFonts w:ascii="Arial" w:eastAsia="標楷體" w:hAnsi="標楷體" w:cs="Arial" w:hint="eastAsia"/>
          <w:color w:val="000000" w:themeColor="text1"/>
          <w:sz w:val="18"/>
          <w:szCs w:val="18"/>
        </w:rPr>
        <w:t>：調整後之履約價格</w:t>
      </w:r>
      <w:r w:rsidRPr="006675C9">
        <w:rPr>
          <w:rFonts w:ascii="Arial" w:eastAsia="標楷體" w:hAnsi="標楷體" w:cs="Arial" w:hint="eastAsia"/>
          <w:color w:val="000000" w:themeColor="text1"/>
          <w:sz w:val="18"/>
          <w:szCs w:val="18"/>
        </w:rPr>
        <w:t xml:space="preserve"> </w:t>
      </w:r>
    </w:p>
    <w:p w14:paraId="4E47FD14"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N</w:t>
      </w:r>
      <w:r w:rsidRPr="006675C9">
        <w:rPr>
          <w:rFonts w:ascii="Arial" w:eastAsia="標楷體" w:hAnsi="標楷體" w:cs="Arial" w:hint="eastAsia"/>
          <w:color w:val="000000" w:themeColor="text1"/>
          <w:sz w:val="18"/>
          <w:szCs w:val="18"/>
        </w:rPr>
        <w:t>：調整前之行使比例</w:t>
      </w:r>
      <w:r w:rsidRPr="006675C9">
        <w:rPr>
          <w:rFonts w:ascii="Arial" w:eastAsia="標楷體" w:hAnsi="標楷體" w:cs="Arial" w:hint="eastAsia"/>
          <w:color w:val="000000" w:themeColor="text1"/>
          <w:sz w:val="18"/>
          <w:szCs w:val="18"/>
        </w:rPr>
        <w:t xml:space="preserve">          </w:t>
      </w:r>
    </w:p>
    <w:p w14:paraId="3AC4D73C"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N'</w:t>
      </w:r>
      <w:r w:rsidRPr="006675C9">
        <w:rPr>
          <w:rFonts w:ascii="Arial" w:eastAsia="標楷體" w:hAnsi="標楷體" w:cs="Arial" w:hint="eastAsia"/>
          <w:color w:val="000000" w:themeColor="text1"/>
          <w:sz w:val="18"/>
          <w:szCs w:val="18"/>
        </w:rPr>
        <w:t>：調整後之行使比例</w:t>
      </w:r>
    </w:p>
    <w:p w14:paraId="2C81F303"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m</w:t>
      </w:r>
      <w:r w:rsidRPr="006675C9">
        <w:rPr>
          <w:rFonts w:ascii="Arial" w:eastAsia="標楷體" w:hAnsi="標楷體" w:cs="Arial" w:hint="eastAsia"/>
          <w:color w:val="000000" w:themeColor="text1"/>
          <w:sz w:val="18"/>
          <w:szCs w:val="18"/>
        </w:rPr>
        <w:t>：現金增資認股率</w:t>
      </w:r>
      <w:r w:rsidRPr="006675C9">
        <w:rPr>
          <w:rFonts w:ascii="Arial" w:eastAsia="標楷體" w:hAnsi="標楷體" w:cs="Arial" w:hint="eastAsia"/>
          <w:color w:val="000000" w:themeColor="text1"/>
          <w:sz w:val="18"/>
          <w:szCs w:val="18"/>
        </w:rPr>
        <w:t xml:space="preserve">            </w:t>
      </w:r>
    </w:p>
    <w:p w14:paraId="1054883E"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n</w:t>
      </w:r>
      <w:r w:rsidRPr="006675C9">
        <w:rPr>
          <w:rFonts w:ascii="Arial" w:eastAsia="標楷體" w:hAnsi="標楷體" w:cs="Arial" w:hint="eastAsia"/>
          <w:color w:val="000000" w:themeColor="text1"/>
          <w:sz w:val="18"/>
          <w:szCs w:val="18"/>
        </w:rPr>
        <w:t>：無償配股率</w:t>
      </w:r>
    </w:p>
    <w:p w14:paraId="15FB774F"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P</w:t>
      </w:r>
      <w:r w:rsidRPr="006675C9">
        <w:rPr>
          <w:rFonts w:ascii="Arial" w:eastAsia="標楷體" w:hAnsi="標楷體" w:cs="Arial" w:hint="eastAsia"/>
          <w:color w:val="000000" w:themeColor="text1"/>
          <w:sz w:val="18"/>
          <w:szCs w:val="18"/>
        </w:rPr>
        <w:t>：現金增資每股認購價</w:t>
      </w:r>
      <w:r w:rsidRPr="006675C9">
        <w:rPr>
          <w:rFonts w:ascii="Arial" w:eastAsia="標楷體" w:hAnsi="標楷體" w:cs="Arial" w:hint="eastAsia"/>
          <w:color w:val="000000" w:themeColor="text1"/>
          <w:sz w:val="18"/>
          <w:szCs w:val="18"/>
        </w:rPr>
        <w:t xml:space="preserve">        </w:t>
      </w:r>
    </w:p>
    <w:p w14:paraId="6B1CE1CC"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B</w:t>
      </w:r>
      <w:r w:rsidRPr="006675C9">
        <w:rPr>
          <w:rFonts w:ascii="Arial" w:eastAsia="標楷體" w:hAnsi="標楷體" w:cs="Arial" w:hint="eastAsia"/>
          <w:color w:val="000000" w:themeColor="text1"/>
          <w:sz w:val="18"/>
          <w:szCs w:val="18"/>
        </w:rPr>
        <w:t>：</w:t>
      </w:r>
      <w:r w:rsidR="00B62DA3" w:rsidRPr="00B62DA3">
        <w:rPr>
          <w:rFonts w:ascii="Arial" w:eastAsia="標楷體" w:hAnsi="標楷體" w:cs="Arial" w:hint="eastAsia"/>
          <w:color w:val="000000" w:themeColor="text1"/>
          <w:sz w:val="18"/>
          <w:szCs w:val="18"/>
        </w:rPr>
        <w:t>標的證券現金股利或指數股票型基金</w:t>
      </w:r>
      <w:r w:rsidR="00B62DA3" w:rsidRPr="00B62DA3">
        <w:rPr>
          <w:rFonts w:ascii="Arial" w:eastAsia="標楷體" w:hAnsi="標楷體" w:cs="Arial" w:hint="eastAsia"/>
          <w:color w:val="000000" w:themeColor="text1"/>
          <w:sz w:val="18"/>
          <w:szCs w:val="18"/>
        </w:rPr>
        <w:t>(ETF)</w:t>
      </w:r>
      <w:r w:rsidR="00B62DA3" w:rsidRPr="00B62DA3">
        <w:rPr>
          <w:rFonts w:ascii="Arial" w:eastAsia="標楷體" w:hAnsi="標楷體" w:cs="Arial" w:hint="eastAsia"/>
          <w:color w:val="000000" w:themeColor="text1"/>
          <w:sz w:val="18"/>
          <w:szCs w:val="18"/>
        </w:rPr>
        <w:t>配發股息</w:t>
      </w:r>
    </w:p>
    <w:p w14:paraId="4E0F2F9E" w14:textId="77777777" w:rsidR="00B62DA3" w:rsidRPr="00B62DA3" w:rsidRDefault="00B62DA3" w:rsidP="00B62DA3">
      <w:pPr>
        <w:snapToGrid w:val="0"/>
        <w:spacing w:line="200" w:lineRule="exact"/>
        <w:ind w:leftChars="203" w:left="1207" w:hangingChars="400" w:hanging="720"/>
        <w:jc w:val="both"/>
        <w:rPr>
          <w:rFonts w:ascii="Arial" w:eastAsia="標楷體" w:hAnsi="標楷體" w:cs="Arial"/>
          <w:color w:val="000000" w:themeColor="text1"/>
          <w:sz w:val="18"/>
          <w:szCs w:val="18"/>
        </w:rPr>
      </w:pPr>
      <w:r w:rsidRPr="00B62DA3">
        <w:rPr>
          <w:rFonts w:ascii="Arial" w:eastAsia="標楷體" w:hAnsi="標楷體" w:cs="Arial" w:hint="eastAsia"/>
          <w:color w:val="000000" w:themeColor="text1"/>
          <w:sz w:val="18"/>
          <w:szCs w:val="18"/>
        </w:rPr>
        <w:t>PV</w:t>
      </w:r>
      <w:r w:rsidRPr="00B62DA3">
        <w:rPr>
          <w:rFonts w:ascii="Arial" w:eastAsia="標楷體" w:hAnsi="標楷體" w:cs="Arial" w:hint="eastAsia"/>
          <w:color w:val="000000" w:themeColor="text1"/>
          <w:sz w:val="18"/>
          <w:szCs w:val="18"/>
        </w:rPr>
        <w:t>：變更股票面額前之每股面額</w:t>
      </w:r>
    </w:p>
    <w:p w14:paraId="37A29871" w14:textId="77777777" w:rsidR="00B25572" w:rsidRDefault="00B62DA3" w:rsidP="00B62DA3">
      <w:pPr>
        <w:snapToGrid w:val="0"/>
        <w:spacing w:line="200" w:lineRule="exact"/>
        <w:ind w:leftChars="203" w:left="1207" w:hangingChars="400" w:hanging="720"/>
        <w:jc w:val="both"/>
        <w:rPr>
          <w:rFonts w:ascii="Arial" w:eastAsia="標楷體" w:hAnsi="標楷體" w:cs="Arial"/>
          <w:color w:val="000000" w:themeColor="text1"/>
          <w:sz w:val="18"/>
          <w:szCs w:val="18"/>
        </w:rPr>
      </w:pPr>
      <w:r w:rsidRPr="00B62DA3">
        <w:rPr>
          <w:rFonts w:ascii="Arial" w:eastAsia="標楷體" w:hAnsi="標楷體" w:cs="Arial" w:hint="eastAsia"/>
          <w:color w:val="000000" w:themeColor="text1"/>
          <w:sz w:val="18"/>
          <w:szCs w:val="18"/>
        </w:rPr>
        <w:t>PV'</w:t>
      </w:r>
      <w:r w:rsidRPr="00B62DA3">
        <w:rPr>
          <w:rFonts w:ascii="Arial" w:eastAsia="標楷體" w:hAnsi="標楷體" w:cs="Arial" w:hint="eastAsia"/>
          <w:color w:val="000000" w:themeColor="text1"/>
          <w:sz w:val="18"/>
          <w:szCs w:val="18"/>
        </w:rPr>
        <w:t>：變更股票面額後之每股面額</w:t>
      </w:r>
    </w:p>
    <w:p w14:paraId="73BEEAEF" w14:textId="77777777" w:rsidR="00944A17" w:rsidRPr="00944A17" w:rsidRDefault="00944A17" w:rsidP="00B62DA3">
      <w:pPr>
        <w:snapToGrid w:val="0"/>
        <w:spacing w:line="200" w:lineRule="exact"/>
        <w:ind w:leftChars="203" w:left="1207" w:hangingChars="400" w:hanging="720"/>
        <w:jc w:val="both"/>
        <w:rPr>
          <w:rFonts w:ascii="Arial" w:eastAsia="標楷體" w:hAnsi="標楷體" w:cs="Arial"/>
          <w:color w:val="000000" w:themeColor="text1"/>
          <w:sz w:val="18"/>
          <w:szCs w:val="18"/>
        </w:rPr>
      </w:pPr>
    </w:p>
    <w:p w14:paraId="7E47C264" w14:textId="77777777" w:rsidR="00944A17" w:rsidRDefault="00944A17" w:rsidP="00944A17">
      <w:pPr>
        <w:snapToGrid w:val="0"/>
        <w:spacing w:line="200" w:lineRule="exact"/>
        <w:ind w:firstLineChars="150" w:firstLine="27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w:t>
      </w:r>
      <w:r>
        <w:rPr>
          <w:rFonts w:ascii="Arial" w:eastAsia="標楷體" w:hAnsi="標楷體" w:cs="Arial" w:hint="eastAsia"/>
          <w:color w:val="000000" w:themeColor="text1"/>
          <w:sz w:val="18"/>
          <w:szCs w:val="18"/>
        </w:rPr>
        <w:t>一</w:t>
      </w:r>
      <w:r>
        <w:rPr>
          <w:rFonts w:ascii="Arial" w:eastAsia="標楷體" w:hAnsi="標楷體" w:cs="Arial" w:hint="eastAsia"/>
          <w:color w:val="000000" w:themeColor="text1"/>
          <w:sz w:val="18"/>
          <w:szCs w:val="18"/>
        </w:rPr>
        <w:t>)</w:t>
      </w:r>
      <w:r w:rsidRPr="00944A17">
        <w:rPr>
          <w:rFonts w:ascii="Arial" w:eastAsia="標楷體" w:hAnsi="標楷體" w:cs="Arial" w:hint="eastAsia"/>
          <w:color w:val="000000" w:themeColor="text1"/>
          <w:sz w:val="18"/>
          <w:szCs w:val="18"/>
        </w:rPr>
        <w:t>標的證券發行公司有下列各款所定情事者，依各該款規定調整履約價格</w:t>
      </w:r>
      <w:r w:rsidRPr="00944A17">
        <w:rPr>
          <w:rFonts w:ascii="Arial" w:eastAsia="標楷體" w:hAnsi="標楷體" w:cs="Arial" w:hint="eastAsia"/>
          <w:color w:val="000000" w:themeColor="text1"/>
          <w:sz w:val="18"/>
          <w:szCs w:val="18"/>
        </w:rPr>
        <w:t xml:space="preserve"> </w:t>
      </w:r>
      <w:r w:rsidRPr="00944A17">
        <w:rPr>
          <w:rFonts w:ascii="Arial" w:eastAsia="標楷體" w:hAnsi="標楷體" w:cs="Arial" w:hint="eastAsia"/>
          <w:color w:val="000000" w:themeColor="text1"/>
          <w:sz w:val="18"/>
          <w:szCs w:val="18"/>
        </w:rPr>
        <w:t>及行使比例：</w:t>
      </w:r>
    </w:p>
    <w:p w14:paraId="21F96201" w14:textId="77777777" w:rsidR="00944A17" w:rsidRDefault="00944A17" w:rsidP="00944A17">
      <w:pPr>
        <w:snapToGrid w:val="0"/>
        <w:spacing w:line="200" w:lineRule="exact"/>
        <w:ind w:leftChars="253" w:left="1237" w:hangingChars="350" w:hanging="630"/>
        <w:jc w:val="both"/>
        <w:rPr>
          <w:rFonts w:ascii="Arial" w:eastAsia="標楷體" w:hAnsi="標楷體" w:cs="Arial"/>
          <w:color w:val="000000" w:themeColor="text1"/>
          <w:sz w:val="18"/>
          <w:szCs w:val="18"/>
        </w:rPr>
      </w:pPr>
      <w:r>
        <w:rPr>
          <w:rFonts w:ascii="Arial" w:eastAsia="標楷體" w:hAnsi="標楷體" w:cs="Arial"/>
          <w:color w:val="000000" w:themeColor="text1"/>
          <w:sz w:val="18"/>
          <w:szCs w:val="18"/>
        </w:rPr>
        <w:t>1.</w:t>
      </w:r>
      <w:r w:rsidR="00B25572" w:rsidRPr="006675C9">
        <w:rPr>
          <w:rFonts w:ascii="Arial" w:eastAsia="標楷體" w:hAnsi="標楷體" w:cs="Arial" w:hint="eastAsia"/>
          <w:color w:val="000000" w:themeColor="text1"/>
          <w:sz w:val="18"/>
          <w:szCs w:val="18"/>
        </w:rPr>
        <w:t xml:space="preserve">(a) </w:t>
      </w:r>
      <w:r w:rsidR="00B25572" w:rsidRPr="006675C9">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標的證券公司若有發放現金股利或遇有資本公積、盈餘公積無償配發股票股利、或者現金增資且現金增資每股認購價低於減除</w:t>
      </w:r>
    </w:p>
    <w:p w14:paraId="77317496" w14:textId="77777777" w:rsidR="00B25572" w:rsidRPr="006675C9" w:rsidRDefault="00B25572" w:rsidP="00944A17">
      <w:pPr>
        <w:snapToGrid w:val="0"/>
        <w:spacing w:line="200" w:lineRule="exact"/>
        <w:ind w:leftChars="353" w:left="1297"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股利參考價〔</w:t>
      </w:r>
      <w:r w:rsidRPr="006675C9">
        <w:rPr>
          <w:rFonts w:ascii="Arial" w:eastAsia="標楷體" w:hAnsi="標楷體" w:cs="Arial" w:hint="eastAsia"/>
          <w:color w:val="000000" w:themeColor="text1"/>
          <w:sz w:val="18"/>
          <w:szCs w:val="18"/>
        </w:rPr>
        <w:t>P&lt;(S-B)/(1+n)</w:t>
      </w:r>
      <w:r w:rsidRPr="006675C9">
        <w:rPr>
          <w:rFonts w:ascii="Arial" w:eastAsia="標楷體" w:hAnsi="標楷體" w:cs="Arial" w:hint="eastAsia"/>
          <w:color w:val="000000" w:themeColor="text1"/>
          <w:sz w:val="18"/>
          <w:szCs w:val="18"/>
        </w:rPr>
        <w:t>〕時，應做如下之調整：</w:t>
      </w:r>
    </w:p>
    <w:p w14:paraId="3F528F7C" w14:textId="77777777" w:rsidR="00B25572" w:rsidRPr="006675C9" w:rsidRDefault="00B25572" w:rsidP="00507020">
      <w:pPr>
        <w:snapToGrid w:val="0"/>
        <w:spacing w:line="200" w:lineRule="exact"/>
        <w:ind w:firstLineChars="450" w:firstLine="81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除權息參考價通用計算公式如下：</w:t>
      </w:r>
    </w:p>
    <w:p w14:paraId="5D575E96"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hint="eastAsia"/>
          <w:color w:val="000000" w:themeColor="text1"/>
          <w:sz w:val="18"/>
          <w:szCs w:val="18"/>
        </w:rPr>
        <w:t xml:space="preserve">                       </w:t>
      </w:r>
      <w:r w:rsidRPr="006675C9">
        <w:rPr>
          <w:rFonts w:ascii="Arial" w:eastAsia="標楷體" w:hAnsi="標楷體" w:cs="Arial"/>
          <w:color w:val="000000" w:themeColor="text1"/>
          <w:sz w:val="18"/>
          <w:szCs w:val="18"/>
        </w:rPr>
        <w:t xml:space="preserve">S </w:t>
      </w:r>
      <w:r w:rsidRPr="006675C9">
        <w:rPr>
          <w:rFonts w:ascii="Arial" w:eastAsia="標楷體" w:hAnsi="標楷體" w:cs="Arial"/>
          <w:color w:val="000000" w:themeColor="text1"/>
          <w:sz w:val="18"/>
          <w:szCs w:val="18"/>
        </w:rPr>
        <w:t>–</w:t>
      </w:r>
      <w:r w:rsidRPr="006675C9">
        <w:rPr>
          <w:rFonts w:ascii="Arial" w:eastAsia="標楷體" w:hAnsi="標楷體" w:cs="Arial"/>
          <w:color w:val="000000" w:themeColor="text1"/>
          <w:sz w:val="18"/>
          <w:szCs w:val="18"/>
        </w:rPr>
        <w:t xml:space="preserve"> B + m P</w:t>
      </w:r>
    </w:p>
    <w:p w14:paraId="7BD498D3"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color w:val="000000" w:themeColor="text1"/>
          <w:sz w:val="18"/>
          <w:szCs w:val="18"/>
        </w:rPr>
        <w:t>標的證券調整後參考價</w:t>
      </w:r>
      <w:r w:rsidRPr="006675C9">
        <w:rPr>
          <w:rFonts w:ascii="Arial" w:eastAsia="標楷體" w:hAnsi="Arial" w:cs="Arial"/>
          <w:color w:val="000000" w:themeColor="text1"/>
          <w:sz w:val="18"/>
          <w:szCs w:val="18"/>
        </w:rPr>
        <w:t xml:space="preserve"> </w:t>
      </w:r>
      <w:r w:rsidRPr="006675C9">
        <w:rPr>
          <w:rFonts w:ascii="Arial" w:eastAsia="標楷體" w:hAnsi="標楷體" w:cs="Arial"/>
          <w:color w:val="000000" w:themeColor="text1"/>
          <w:sz w:val="18"/>
          <w:szCs w:val="18"/>
        </w:rPr>
        <w:t>：</w:t>
      </w:r>
      <w:r w:rsidRPr="006675C9">
        <w:rPr>
          <w:rFonts w:ascii="Arial" w:eastAsia="標楷體" w:hAnsi="標楷體" w:cs="Arial"/>
          <w:color w:val="000000" w:themeColor="text1"/>
          <w:sz w:val="18"/>
          <w:szCs w:val="18"/>
        </w:rPr>
        <w:t>S' = -------------------</w:t>
      </w:r>
    </w:p>
    <w:p w14:paraId="25F7CBEB"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hint="eastAsia"/>
          <w:color w:val="000000" w:themeColor="text1"/>
          <w:sz w:val="18"/>
          <w:szCs w:val="18"/>
        </w:rPr>
        <w:t xml:space="preserve">                      </w:t>
      </w:r>
      <w:r w:rsidRPr="006675C9">
        <w:rPr>
          <w:rFonts w:ascii="Arial" w:eastAsia="標楷體" w:hAnsi="標楷體" w:cs="Arial"/>
          <w:color w:val="000000" w:themeColor="text1"/>
          <w:sz w:val="18"/>
          <w:szCs w:val="18"/>
        </w:rPr>
        <w:t>1 + m + n</w:t>
      </w:r>
    </w:p>
    <w:p w14:paraId="2E56B430" w14:textId="77777777" w:rsidR="00B25572" w:rsidRPr="006675C9" w:rsidRDefault="00B25572" w:rsidP="006675C9">
      <w:pPr>
        <w:snapToGrid w:val="0"/>
        <w:spacing w:line="200" w:lineRule="exact"/>
        <w:ind w:leftChars="435" w:left="1044" w:firstLineChars="350" w:firstLine="63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調整後履約價格：</w:t>
      </w:r>
      <w:r w:rsidRPr="006675C9">
        <w:rPr>
          <w:rFonts w:ascii="Arial" w:eastAsia="標楷體" w:hAnsi="標楷體" w:cs="Arial"/>
          <w:color w:val="000000" w:themeColor="text1"/>
          <w:sz w:val="18"/>
          <w:szCs w:val="18"/>
        </w:rPr>
        <w:t>K' = K x ( S' / S )</w:t>
      </w:r>
    </w:p>
    <w:p w14:paraId="4F4B69A8" w14:textId="77777777" w:rsidR="00B25572" w:rsidRPr="006675C9" w:rsidRDefault="00B25572" w:rsidP="006675C9">
      <w:pPr>
        <w:snapToGrid w:val="0"/>
        <w:spacing w:line="200" w:lineRule="exact"/>
        <w:ind w:leftChars="435" w:left="1044" w:firstLineChars="350" w:firstLine="63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調整後行使比例：</w:t>
      </w:r>
      <w:r w:rsidRPr="006675C9">
        <w:rPr>
          <w:rFonts w:ascii="Arial" w:eastAsia="標楷體" w:hAnsi="標楷體" w:cs="Arial"/>
          <w:color w:val="000000" w:themeColor="text1"/>
          <w:sz w:val="18"/>
          <w:szCs w:val="18"/>
        </w:rPr>
        <w:t>N' = N x ( S / S' )</w:t>
      </w:r>
    </w:p>
    <w:p w14:paraId="1B21322B" w14:textId="77777777" w:rsidR="00507020" w:rsidRDefault="00B25572" w:rsidP="006675C9">
      <w:pPr>
        <w:snapToGrid w:val="0"/>
        <w:spacing w:line="200" w:lineRule="exact"/>
        <w:ind w:firstLineChars="350" w:firstLine="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 xml:space="preserve">(b) </w:t>
      </w:r>
      <w:r w:rsidRPr="006675C9">
        <w:rPr>
          <w:rFonts w:ascii="Arial" w:eastAsia="標楷體" w:hAnsi="標楷體" w:cs="Arial" w:hint="eastAsia"/>
          <w:color w:val="000000" w:themeColor="text1"/>
          <w:sz w:val="18"/>
          <w:szCs w:val="18"/>
        </w:rPr>
        <w:t>標的證券公司若有發放現金股利或遇有資本公積、盈餘公積無償配發股票股利、或者現金增資且現金增資每股認購價高於或等於</w:t>
      </w:r>
    </w:p>
    <w:p w14:paraId="638E50D1" w14:textId="77777777" w:rsidR="00B25572" w:rsidRPr="006675C9" w:rsidRDefault="00B25572" w:rsidP="005915FA">
      <w:pPr>
        <w:snapToGrid w:val="0"/>
        <w:spacing w:line="200" w:lineRule="exact"/>
        <w:ind w:firstLineChars="400" w:firstLine="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減除股利參考價〔</w:t>
      </w:r>
      <w:r w:rsidRPr="006675C9">
        <w:rPr>
          <w:rFonts w:ascii="Arial" w:eastAsia="標楷體" w:hAnsi="標楷體" w:cs="Arial" w:hint="eastAsia"/>
          <w:color w:val="000000" w:themeColor="text1"/>
          <w:sz w:val="18"/>
          <w:szCs w:val="18"/>
        </w:rPr>
        <w:t>P&gt;=(S-B)/(1+n)</w:t>
      </w:r>
      <w:r w:rsidRPr="006675C9">
        <w:rPr>
          <w:rFonts w:ascii="Arial" w:eastAsia="標楷體" w:hAnsi="標楷體" w:cs="Arial" w:hint="eastAsia"/>
          <w:color w:val="000000" w:themeColor="text1"/>
          <w:sz w:val="18"/>
          <w:szCs w:val="18"/>
        </w:rPr>
        <w:t>〕時，應做如下之調整：</w:t>
      </w:r>
    </w:p>
    <w:p w14:paraId="65BF60C7" w14:textId="77777777" w:rsidR="00B25572" w:rsidRPr="006675C9" w:rsidRDefault="00B25572" w:rsidP="005915FA">
      <w:pPr>
        <w:snapToGrid w:val="0"/>
        <w:spacing w:line="200" w:lineRule="exact"/>
        <w:ind w:leftChars="315" w:left="120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除權息參考價通用計算公式如下：</w:t>
      </w:r>
    </w:p>
    <w:p w14:paraId="79F09FFC"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hint="eastAsia"/>
          <w:color w:val="000000" w:themeColor="text1"/>
          <w:sz w:val="18"/>
          <w:szCs w:val="18"/>
        </w:rPr>
        <w:t xml:space="preserve">                     </w:t>
      </w:r>
      <w:r w:rsidRPr="006675C9">
        <w:rPr>
          <w:rFonts w:ascii="Arial" w:eastAsia="標楷體" w:hAnsi="標楷體" w:cs="Arial"/>
          <w:color w:val="000000" w:themeColor="text1"/>
          <w:sz w:val="18"/>
          <w:szCs w:val="18"/>
        </w:rPr>
        <w:t xml:space="preserve"> S </w:t>
      </w:r>
      <w:r w:rsidRPr="006675C9">
        <w:rPr>
          <w:rFonts w:ascii="Arial" w:eastAsia="標楷體" w:hAnsi="標楷體" w:cs="Arial"/>
          <w:color w:val="000000" w:themeColor="text1"/>
          <w:sz w:val="18"/>
          <w:szCs w:val="18"/>
        </w:rPr>
        <w:t>–</w:t>
      </w:r>
      <w:r w:rsidRPr="006675C9">
        <w:rPr>
          <w:rFonts w:ascii="Arial" w:eastAsia="標楷體" w:hAnsi="標楷體" w:cs="Arial"/>
          <w:color w:val="000000" w:themeColor="text1"/>
          <w:sz w:val="18"/>
          <w:szCs w:val="18"/>
        </w:rPr>
        <w:t xml:space="preserve"> B</w:t>
      </w:r>
    </w:p>
    <w:p w14:paraId="1F3683C1"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color w:val="000000" w:themeColor="text1"/>
          <w:sz w:val="18"/>
          <w:szCs w:val="18"/>
        </w:rPr>
        <w:t>標的證券調整後參考價</w:t>
      </w:r>
      <w:r w:rsidRPr="006675C9">
        <w:rPr>
          <w:rFonts w:ascii="Arial" w:eastAsia="標楷體" w:hAnsi="Arial" w:cs="Arial"/>
          <w:color w:val="000000" w:themeColor="text1"/>
          <w:sz w:val="18"/>
          <w:szCs w:val="18"/>
        </w:rPr>
        <w:t xml:space="preserve"> </w:t>
      </w:r>
      <w:r w:rsidRPr="006675C9">
        <w:rPr>
          <w:rFonts w:ascii="Arial" w:eastAsia="標楷體" w:hAnsi="標楷體" w:cs="Arial"/>
          <w:color w:val="000000" w:themeColor="text1"/>
          <w:sz w:val="18"/>
          <w:szCs w:val="18"/>
        </w:rPr>
        <w:t>：</w:t>
      </w:r>
      <w:r w:rsidRPr="006675C9">
        <w:rPr>
          <w:rFonts w:ascii="Arial" w:eastAsia="標楷體" w:hAnsi="標楷體" w:cs="Arial"/>
          <w:color w:val="000000" w:themeColor="text1"/>
          <w:sz w:val="18"/>
          <w:szCs w:val="18"/>
        </w:rPr>
        <w:t>S' = -----------</w:t>
      </w:r>
    </w:p>
    <w:p w14:paraId="09694AAC"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                </w:t>
      </w:r>
      <w:r w:rsidRPr="006675C9">
        <w:rPr>
          <w:rFonts w:ascii="Arial" w:eastAsia="標楷體" w:hAnsi="標楷體" w:cs="Arial" w:hint="eastAsia"/>
          <w:color w:val="000000" w:themeColor="text1"/>
          <w:sz w:val="18"/>
          <w:szCs w:val="18"/>
        </w:rPr>
        <w:t xml:space="preserve">                    </w:t>
      </w:r>
      <w:r w:rsidRPr="006675C9">
        <w:rPr>
          <w:rFonts w:ascii="Arial" w:eastAsia="標楷體" w:hAnsi="標楷體" w:cs="Arial"/>
          <w:color w:val="000000" w:themeColor="text1"/>
          <w:sz w:val="18"/>
          <w:szCs w:val="18"/>
        </w:rPr>
        <w:t>1 + n</w:t>
      </w:r>
    </w:p>
    <w:p w14:paraId="27626DDF" w14:textId="77777777" w:rsidR="00B25572" w:rsidRPr="006675C9" w:rsidRDefault="00B25572" w:rsidP="006675C9">
      <w:pPr>
        <w:snapToGrid w:val="0"/>
        <w:spacing w:line="200" w:lineRule="exact"/>
        <w:ind w:leftChars="435" w:left="1044" w:firstLineChars="400" w:firstLine="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調整後履約價格：</w:t>
      </w:r>
      <w:r w:rsidRPr="006675C9">
        <w:rPr>
          <w:rFonts w:ascii="Arial" w:eastAsia="標楷體" w:hAnsi="標楷體" w:cs="Arial"/>
          <w:color w:val="000000" w:themeColor="text1"/>
          <w:sz w:val="18"/>
          <w:szCs w:val="18"/>
        </w:rPr>
        <w:t>K' = K x ( S' / S )</w:t>
      </w:r>
    </w:p>
    <w:p w14:paraId="061DBF22" w14:textId="77777777" w:rsidR="00B25572" w:rsidRPr="006675C9" w:rsidRDefault="00B25572" w:rsidP="006675C9">
      <w:pPr>
        <w:snapToGrid w:val="0"/>
        <w:spacing w:line="200" w:lineRule="exact"/>
        <w:ind w:leftChars="435" w:left="1044" w:firstLineChars="400" w:firstLine="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調整後行使比例：</w:t>
      </w:r>
      <w:r w:rsidRPr="006675C9">
        <w:rPr>
          <w:rFonts w:ascii="Arial" w:eastAsia="標楷體" w:hAnsi="標楷體" w:cs="Arial"/>
          <w:color w:val="000000" w:themeColor="text1"/>
          <w:sz w:val="18"/>
          <w:szCs w:val="18"/>
        </w:rPr>
        <w:t>N' = N x ( S / S' )</w:t>
      </w:r>
    </w:p>
    <w:p w14:paraId="3E3A3AE4" w14:textId="77777777" w:rsidR="00507020"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r w:rsidRPr="006675C9">
        <w:rPr>
          <w:rFonts w:ascii="Arial" w:eastAsia="標楷體" w:hAnsi="標楷體" w:cs="Arial" w:hint="eastAsia"/>
          <w:color w:val="000000" w:themeColor="text1"/>
          <w:sz w:val="18"/>
          <w:szCs w:val="18"/>
        </w:rPr>
        <w:t>標的證券公司減資或合併、收購及股份轉換（標的證券為消滅或下櫃公司、且存續公司為權證可發行標的</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或存續公司非權證可發行標</w:t>
      </w:r>
    </w:p>
    <w:p w14:paraId="5AF217DD" w14:textId="77777777" w:rsidR="00B25572" w:rsidRPr="006675C9" w:rsidRDefault="00B25572" w:rsidP="00507020">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的，但為國內上市</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櫃</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金融控股公司，或為直接持有原標的證券發行公司百分之百已發行股份之國內上市</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櫃</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投資控股公司）之調整公式：</w:t>
      </w:r>
      <w:r w:rsidRPr="006675C9">
        <w:rPr>
          <w:rFonts w:ascii="Arial" w:eastAsia="標楷體" w:hAnsi="標楷體" w:cs="Arial" w:hint="eastAsia"/>
          <w:color w:val="000000" w:themeColor="text1"/>
          <w:sz w:val="18"/>
          <w:szCs w:val="18"/>
        </w:rPr>
        <w:t xml:space="preserve"> </w:t>
      </w:r>
    </w:p>
    <w:p w14:paraId="148A6DBA" w14:textId="77777777" w:rsidR="00B25572" w:rsidRPr="006675C9" w:rsidRDefault="00B25572" w:rsidP="006675C9">
      <w:pPr>
        <w:snapToGrid w:val="0"/>
        <w:spacing w:line="200" w:lineRule="exact"/>
        <w:ind w:leftChars="435" w:left="1044" w:firstLineChars="1200" w:firstLine="216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 xml:space="preserve">S' = ( S </w:t>
      </w:r>
      <w:r w:rsidRPr="006675C9">
        <w:rPr>
          <w:rFonts w:ascii="Arial" w:eastAsia="標楷體" w:hAnsi="標楷體" w:cs="Arial"/>
          <w:color w:val="000000" w:themeColor="text1"/>
          <w:sz w:val="18"/>
          <w:szCs w:val="18"/>
        </w:rPr>
        <w:t>–</w:t>
      </w:r>
      <w:r w:rsidRPr="006675C9">
        <w:rPr>
          <w:rFonts w:ascii="Arial" w:eastAsia="標楷體" w:hAnsi="標楷體" w:cs="Arial"/>
          <w:color w:val="000000" w:themeColor="text1"/>
          <w:sz w:val="18"/>
          <w:szCs w:val="18"/>
        </w:rPr>
        <w:t xml:space="preserve"> d ) x b</w:t>
      </w:r>
    </w:p>
    <w:p w14:paraId="1DA03663" w14:textId="77777777" w:rsidR="00B25572" w:rsidRPr="006675C9" w:rsidRDefault="00B25572" w:rsidP="006675C9">
      <w:pPr>
        <w:snapToGrid w:val="0"/>
        <w:spacing w:line="200" w:lineRule="exact"/>
        <w:ind w:leftChars="435" w:left="1044" w:firstLineChars="400" w:firstLine="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調整後履約價格：</w:t>
      </w:r>
      <w:r w:rsidRPr="006675C9">
        <w:rPr>
          <w:rFonts w:ascii="Arial" w:eastAsia="標楷體" w:hAnsi="標楷體" w:cs="Arial"/>
          <w:color w:val="000000" w:themeColor="text1"/>
          <w:sz w:val="18"/>
          <w:szCs w:val="18"/>
        </w:rPr>
        <w:t>K' = K x S' / S</w:t>
      </w:r>
    </w:p>
    <w:p w14:paraId="26534830" w14:textId="77777777" w:rsidR="00B25572" w:rsidRPr="006675C9" w:rsidRDefault="00B25572" w:rsidP="006675C9">
      <w:pPr>
        <w:snapToGrid w:val="0"/>
        <w:spacing w:line="200" w:lineRule="exact"/>
        <w:ind w:leftChars="435" w:left="1044" w:firstLineChars="400" w:firstLine="720"/>
        <w:jc w:val="both"/>
        <w:rPr>
          <w:rFonts w:ascii="Arial" w:eastAsia="標楷體" w:hAnsi="標楷體" w:cs="Arial"/>
          <w:color w:val="000000" w:themeColor="text1"/>
          <w:sz w:val="18"/>
          <w:szCs w:val="18"/>
        </w:rPr>
      </w:pPr>
      <w:r w:rsidRPr="006675C9">
        <w:rPr>
          <w:rFonts w:ascii="Arial" w:eastAsia="標楷體" w:hAnsi="標楷體" w:cs="Arial"/>
          <w:color w:val="000000" w:themeColor="text1"/>
          <w:sz w:val="18"/>
          <w:szCs w:val="18"/>
        </w:rPr>
        <w:t>調整後行使比例：</w:t>
      </w:r>
      <w:r w:rsidRPr="006675C9">
        <w:rPr>
          <w:rFonts w:ascii="Arial" w:eastAsia="標楷體" w:hAnsi="標楷體" w:cs="Arial"/>
          <w:color w:val="000000" w:themeColor="text1"/>
          <w:sz w:val="18"/>
          <w:szCs w:val="18"/>
        </w:rPr>
        <w:t>N' = N x S / S'</w:t>
      </w:r>
    </w:p>
    <w:p w14:paraId="64051335" w14:textId="77777777" w:rsidR="00B25572" w:rsidRDefault="00B25572" w:rsidP="00B62DA3">
      <w:pPr>
        <w:snapToGrid w:val="0"/>
        <w:spacing w:line="200" w:lineRule="exact"/>
        <w:ind w:leftChars="303" w:left="1267"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其中，</w:t>
      </w:r>
      <w:r w:rsidRPr="006675C9">
        <w:rPr>
          <w:rFonts w:ascii="Arial" w:eastAsia="標楷體" w:hAnsi="標楷體" w:cs="Arial" w:hint="eastAsia"/>
          <w:color w:val="000000" w:themeColor="text1"/>
          <w:sz w:val="18"/>
          <w:szCs w:val="18"/>
        </w:rPr>
        <w:t>b</w:t>
      </w:r>
      <w:r w:rsidRPr="006675C9">
        <w:rPr>
          <w:rFonts w:ascii="Arial" w:eastAsia="標楷體" w:hAnsi="標楷體" w:cs="Arial" w:hint="eastAsia"/>
          <w:color w:val="000000" w:themeColor="text1"/>
          <w:sz w:val="18"/>
          <w:szCs w:val="18"/>
        </w:rPr>
        <w:t>代表減資或合併、收購及股份轉換之換股比例，每</w:t>
      </w:r>
      <w:r w:rsidRPr="006675C9">
        <w:rPr>
          <w:rFonts w:ascii="Arial" w:eastAsia="標楷體" w:hAnsi="標楷體" w:cs="Arial" w:hint="eastAsia"/>
          <w:color w:val="000000" w:themeColor="text1"/>
          <w:sz w:val="18"/>
          <w:szCs w:val="18"/>
        </w:rPr>
        <w:t>b</w:t>
      </w:r>
      <w:r w:rsidRPr="006675C9">
        <w:rPr>
          <w:rFonts w:ascii="Arial" w:eastAsia="標楷體" w:hAnsi="標楷體" w:cs="Arial" w:hint="eastAsia"/>
          <w:color w:val="000000" w:themeColor="text1"/>
          <w:sz w:val="18"/>
          <w:szCs w:val="18"/>
        </w:rPr>
        <w:t>股舊股換</w:t>
      </w: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股新股，</w:t>
      </w:r>
      <w:r w:rsidRPr="006675C9">
        <w:rPr>
          <w:rFonts w:ascii="Arial" w:eastAsia="標楷體" w:hAnsi="標楷體" w:cs="Arial" w:hint="eastAsia"/>
          <w:color w:val="000000" w:themeColor="text1"/>
          <w:sz w:val="18"/>
          <w:szCs w:val="18"/>
        </w:rPr>
        <w:t>d</w:t>
      </w:r>
      <w:r w:rsidRPr="006675C9">
        <w:rPr>
          <w:rFonts w:ascii="Arial" w:eastAsia="標楷體" w:hAnsi="標楷體" w:cs="Arial" w:hint="eastAsia"/>
          <w:color w:val="000000" w:themeColor="text1"/>
          <w:sz w:val="18"/>
          <w:szCs w:val="18"/>
        </w:rPr>
        <w:t>代表每</w:t>
      </w: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股舊股退還股款</w:t>
      </w:r>
    </w:p>
    <w:p w14:paraId="31BEB3D1" w14:textId="77777777" w:rsidR="00B62DA3" w:rsidRPr="00B62DA3" w:rsidRDefault="00B62DA3" w:rsidP="00B62DA3">
      <w:pPr>
        <w:snapToGrid w:val="0"/>
        <w:spacing w:line="200" w:lineRule="exact"/>
        <w:ind w:leftChars="203" w:left="1207" w:hangingChars="400" w:hanging="72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3.</w:t>
      </w:r>
      <w:r w:rsidRPr="00B62DA3">
        <w:rPr>
          <w:rFonts w:ascii="Arial" w:eastAsia="標楷體" w:hAnsi="標楷體" w:cs="Arial" w:hint="eastAsia"/>
          <w:color w:val="000000" w:themeColor="text1"/>
          <w:sz w:val="18"/>
          <w:szCs w:val="18"/>
        </w:rPr>
        <w:t>標的證券公司變更股票面額之調整公式：</w:t>
      </w:r>
      <w:r w:rsidRPr="00B62DA3">
        <w:rPr>
          <w:rFonts w:ascii="Arial" w:eastAsia="標楷體" w:hAnsi="標楷體" w:cs="Arial" w:hint="eastAsia"/>
          <w:color w:val="000000" w:themeColor="text1"/>
          <w:sz w:val="18"/>
          <w:szCs w:val="18"/>
        </w:rPr>
        <w:t xml:space="preserve"> </w:t>
      </w:r>
    </w:p>
    <w:p w14:paraId="7C05316A" w14:textId="77777777" w:rsidR="00B62DA3" w:rsidRPr="00B62DA3" w:rsidRDefault="00B62DA3" w:rsidP="00B62DA3">
      <w:pPr>
        <w:snapToGrid w:val="0"/>
        <w:spacing w:line="200" w:lineRule="exact"/>
        <w:ind w:leftChars="203" w:left="1207" w:hangingChars="400" w:hanging="720"/>
        <w:jc w:val="both"/>
        <w:rPr>
          <w:rFonts w:ascii="Arial" w:eastAsia="標楷體" w:hAnsi="標楷體" w:cs="Arial"/>
          <w:color w:val="000000" w:themeColor="text1"/>
          <w:sz w:val="18"/>
          <w:szCs w:val="18"/>
        </w:rPr>
      </w:pPr>
      <w:r w:rsidRPr="00B62DA3">
        <w:rPr>
          <w:rFonts w:ascii="Arial" w:eastAsia="標楷體" w:hAnsi="標楷體" w:cs="Arial"/>
          <w:color w:val="000000" w:themeColor="text1"/>
          <w:sz w:val="18"/>
          <w:szCs w:val="18"/>
        </w:rPr>
        <w:t xml:space="preserve">    </w:t>
      </w:r>
      <w:r>
        <w:rPr>
          <w:rFonts w:ascii="Arial" w:eastAsia="標楷體" w:hAnsi="標楷體" w:cs="Arial" w:hint="eastAsia"/>
          <w:color w:val="000000" w:themeColor="text1"/>
          <w:sz w:val="18"/>
          <w:szCs w:val="18"/>
        </w:rPr>
        <w:t xml:space="preserve">   </w:t>
      </w:r>
      <w:r w:rsidRPr="00B62DA3">
        <w:rPr>
          <w:rFonts w:ascii="Arial" w:eastAsia="標楷體" w:hAnsi="標楷體" w:cs="Arial"/>
          <w:color w:val="000000" w:themeColor="text1"/>
          <w:sz w:val="18"/>
          <w:szCs w:val="18"/>
        </w:rPr>
        <w:t>S' = S x ( PV' / PV )</w:t>
      </w:r>
    </w:p>
    <w:p w14:paraId="6E459D33" w14:textId="77777777" w:rsidR="00B62DA3" w:rsidRPr="00B62DA3" w:rsidRDefault="00B62DA3" w:rsidP="00B62DA3">
      <w:pPr>
        <w:snapToGrid w:val="0"/>
        <w:spacing w:line="200" w:lineRule="exact"/>
        <w:ind w:leftChars="453" w:left="1357" w:hangingChars="150" w:hanging="270"/>
        <w:jc w:val="both"/>
        <w:rPr>
          <w:rFonts w:ascii="Arial" w:eastAsia="標楷體" w:hAnsi="標楷體" w:cs="Arial"/>
          <w:color w:val="000000" w:themeColor="text1"/>
          <w:sz w:val="18"/>
          <w:szCs w:val="18"/>
        </w:rPr>
      </w:pPr>
      <w:r w:rsidRPr="00B62DA3">
        <w:rPr>
          <w:rFonts w:ascii="Arial" w:eastAsia="標楷體" w:hAnsi="標楷體" w:cs="Arial"/>
          <w:color w:val="000000" w:themeColor="text1"/>
          <w:sz w:val="18"/>
          <w:szCs w:val="18"/>
        </w:rPr>
        <w:t>K' = K x ( S' / S )</w:t>
      </w:r>
    </w:p>
    <w:p w14:paraId="7FACAABB" w14:textId="77777777" w:rsidR="00B62DA3" w:rsidRPr="006675C9" w:rsidRDefault="00B62DA3" w:rsidP="00B62DA3">
      <w:pPr>
        <w:snapToGrid w:val="0"/>
        <w:spacing w:line="200" w:lineRule="exact"/>
        <w:ind w:leftChars="453" w:left="1357" w:hangingChars="150" w:hanging="270"/>
        <w:jc w:val="both"/>
        <w:rPr>
          <w:rFonts w:ascii="Arial" w:eastAsia="標楷體" w:hAnsi="標楷體" w:cs="Arial"/>
          <w:color w:val="000000" w:themeColor="text1"/>
          <w:sz w:val="18"/>
          <w:szCs w:val="18"/>
        </w:rPr>
      </w:pPr>
      <w:r w:rsidRPr="00B62DA3">
        <w:rPr>
          <w:rFonts w:ascii="Arial" w:eastAsia="標楷體" w:hAnsi="標楷體" w:cs="Arial"/>
          <w:color w:val="000000" w:themeColor="text1"/>
          <w:sz w:val="18"/>
          <w:szCs w:val="18"/>
        </w:rPr>
        <w:t>N' = N x ( S / S' )</w:t>
      </w:r>
    </w:p>
    <w:p w14:paraId="1E1EB5DB" w14:textId="77777777" w:rsidR="00371164" w:rsidRPr="00371164" w:rsidRDefault="00371164" w:rsidP="00371164">
      <w:pPr>
        <w:snapToGrid w:val="0"/>
        <w:spacing w:line="200" w:lineRule="exact"/>
        <w:ind w:firstLineChars="100" w:firstLine="180"/>
        <w:jc w:val="both"/>
        <w:rPr>
          <w:rFonts w:ascii="Arial" w:eastAsia="標楷體" w:hAnsi="標楷體" w:cs="Arial"/>
          <w:color w:val="000000" w:themeColor="text1"/>
          <w:sz w:val="18"/>
          <w:szCs w:val="18"/>
        </w:rPr>
      </w:pPr>
      <w:r w:rsidRPr="00371164">
        <w:rPr>
          <w:rFonts w:ascii="Arial" w:eastAsia="標楷體" w:hAnsi="標楷體" w:cs="Arial" w:hint="eastAsia"/>
          <w:color w:val="000000" w:themeColor="text1"/>
          <w:sz w:val="18"/>
          <w:szCs w:val="18"/>
        </w:rPr>
        <w:t>(</w:t>
      </w:r>
      <w:r w:rsidRPr="00371164">
        <w:rPr>
          <w:rFonts w:ascii="Arial" w:eastAsia="標楷體" w:hAnsi="標楷體" w:cs="Arial" w:hint="eastAsia"/>
          <w:color w:val="000000" w:themeColor="text1"/>
          <w:sz w:val="18"/>
          <w:szCs w:val="18"/>
        </w:rPr>
        <w:t>二</w:t>
      </w:r>
      <w:r w:rsidRPr="00371164">
        <w:rPr>
          <w:rFonts w:ascii="Arial" w:eastAsia="標楷體" w:hAnsi="標楷體" w:cs="Arial" w:hint="eastAsia"/>
          <w:color w:val="000000" w:themeColor="text1"/>
          <w:sz w:val="18"/>
          <w:szCs w:val="18"/>
        </w:rPr>
        <w:t xml:space="preserve">) </w:t>
      </w:r>
      <w:r w:rsidRPr="00371164">
        <w:rPr>
          <w:rFonts w:ascii="Arial" w:eastAsia="標楷體" w:hAnsi="標楷體" w:cs="Arial" w:hint="eastAsia"/>
          <w:color w:val="000000" w:themeColor="text1"/>
          <w:sz w:val="18"/>
          <w:szCs w:val="18"/>
        </w:rPr>
        <w:t>標的證券為指數股票型基金</w:t>
      </w:r>
      <w:r w:rsidRPr="00371164">
        <w:rPr>
          <w:rFonts w:ascii="Arial" w:eastAsia="標楷體" w:hAnsi="標楷體" w:cs="Arial" w:hint="eastAsia"/>
          <w:color w:val="000000" w:themeColor="text1"/>
          <w:sz w:val="18"/>
          <w:szCs w:val="18"/>
        </w:rPr>
        <w:t>(ETF)</w:t>
      </w:r>
      <w:r w:rsidRPr="00371164">
        <w:rPr>
          <w:rFonts w:ascii="Arial" w:eastAsia="標楷體" w:hAnsi="標楷體" w:cs="Arial" w:hint="eastAsia"/>
          <w:color w:val="000000" w:themeColor="text1"/>
          <w:sz w:val="18"/>
          <w:szCs w:val="18"/>
        </w:rPr>
        <w:t>有下列各款所定情事者，依各該款規定調整履約價格及行使比例：</w:t>
      </w:r>
    </w:p>
    <w:p w14:paraId="1B335805" w14:textId="77777777" w:rsidR="00371164" w:rsidRPr="00371164" w:rsidRDefault="00371164" w:rsidP="00371164">
      <w:pPr>
        <w:snapToGrid w:val="0"/>
        <w:spacing w:line="200" w:lineRule="exact"/>
        <w:ind w:leftChars="203" w:left="1207" w:hangingChars="400" w:hanging="720"/>
        <w:jc w:val="both"/>
        <w:rPr>
          <w:rFonts w:ascii="Arial" w:eastAsia="標楷體" w:hAnsi="標楷體" w:cs="Arial"/>
          <w:color w:val="000000" w:themeColor="text1"/>
          <w:sz w:val="18"/>
          <w:szCs w:val="18"/>
        </w:rPr>
      </w:pPr>
      <w:r w:rsidRPr="00371164">
        <w:rPr>
          <w:rFonts w:ascii="Arial" w:eastAsia="標楷體" w:hAnsi="標楷體" w:cs="Arial" w:hint="eastAsia"/>
          <w:color w:val="000000" w:themeColor="text1"/>
          <w:sz w:val="18"/>
          <w:szCs w:val="18"/>
        </w:rPr>
        <w:t xml:space="preserve">  1. </w:t>
      </w:r>
      <w:r w:rsidRPr="00371164">
        <w:rPr>
          <w:rFonts w:ascii="Arial" w:eastAsia="標楷體" w:hAnsi="標楷體" w:cs="Arial" w:hint="eastAsia"/>
          <w:color w:val="000000" w:themeColor="text1"/>
          <w:sz w:val="18"/>
          <w:szCs w:val="18"/>
        </w:rPr>
        <w:t>指數股票型基金</w:t>
      </w:r>
      <w:r w:rsidRPr="00371164">
        <w:rPr>
          <w:rFonts w:ascii="Arial" w:eastAsia="標楷體" w:hAnsi="標楷體" w:cs="Arial" w:hint="eastAsia"/>
          <w:color w:val="000000" w:themeColor="text1"/>
          <w:sz w:val="18"/>
          <w:szCs w:val="18"/>
        </w:rPr>
        <w:t>(ETF)</w:t>
      </w:r>
      <w:r w:rsidRPr="00371164">
        <w:rPr>
          <w:rFonts w:ascii="Arial" w:eastAsia="標楷體" w:hAnsi="標楷體" w:cs="Arial" w:hint="eastAsia"/>
          <w:color w:val="000000" w:themeColor="text1"/>
          <w:sz w:val="18"/>
          <w:szCs w:val="18"/>
        </w:rPr>
        <w:t>配發股息時之調整公式：</w:t>
      </w:r>
    </w:p>
    <w:p w14:paraId="1BC479E8" w14:textId="77777777" w:rsidR="00371164" w:rsidRPr="00371164" w:rsidRDefault="00371164" w:rsidP="00371164">
      <w:pPr>
        <w:snapToGrid w:val="0"/>
        <w:spacing w:line="200" w:lineRule="exact"/>
        <w:ind w:leftChars="203" w:left="1207" w:hangingChars="400" w:hanging="72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     </w:t>
      </w:r>
      <w:r w:rsidR="003D6C5B">
        <w:rPr>
          <w:rFonts w:ascii="Arial" w:eastAsia="標楷體" w:hAnsi="標楷體" w:cs="Arial" w:hint="eastAsia"/>
          <w:color w:val="000000" w:themeColor="text1"/>
          <w:sz w:val="18"/>
          <w:szCs w:val="18"/>
        </w:rPr>
        <w:t xml:space="preserve"> </w:t>
      </w:r>
      <w:r w:rsidRPr="00371164">
        <w:rPr>
          <w:rFonts w:ascii="Arial" w:eastAsia="標楷體" w:hAnsi="標楷體" w:cs="Arial"/>
          <w:color w:val="000000" w:themeColor="text1"/>
          <w:sz w:val="18"/>
          <w:szCs w:val="18"/>
        </w:rPr>
        <w:t xml:space="preserve"> S' = S </w:t>
      </w:r>
      <w:r w:rsidRPr="00371164">
        <w:rPr>
          <w:rFonts w:ascii="Arial" w:eastAsia="標楷體" w:hAnsi="標楷體" w:cs="Arial"/>
          <w:color w:val="000000" w:themeColor="text1"/>
          <w:sz w:val="18"/>
          <w:szCs w:val="18"/>
        </w:rPr>
        <w:t>–</w:t>
      </w:r>
      <w:r w:rsidRPr="00371164">
        <w:rPr>
          <w:rFonts w:ascii="Arial" w:eastAsia="標楷體" w:hAnsi="標楷體" w:cs="Arial"/>
          <w:color w:val="000000" w:themeColor="text1"/>
          <w:sz w:val="18"/>
          <w:szCs w:val="18"/>
        </w:rPr>
        <w:t xml:space="preserve"> B</w:t>
      </w:r>
    </w:p>
    <w:p w14:paraId="5B8574B3" w14:textId="77777777" w:rsidR="00371164" w:rsidRPr="00371164" w:rsidRDefault="00371164" w:rsidP="003D6C5B">
      <w:pPr>
        <w:snapToGrid w:val="0"/>
        <w:spacing w:line="200" w:lineRule="exact"/>
        <w:ind w:leftChars="453" w:left="1357" w:hangingChars="150" w:hanging="27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K' = K x ( S' / S ) </w:t>
      </w:r>
    </w:p>
    <w:p w14:paraId="29DAD271" w14:textId="77777777" w:rsidR="00371164" w:rsidRPr="00371164" w:rsidRDefault="00371164" w:rsidP="003D6C5B">
      <w:pPr>
        <w:snapToGrid w:val="0"/>
        <w:spacing w:line="200" w:lineRule="exact"/>
        <w:ind w:firstLineChars="600" w:firstLine="108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N' = N x ( S / S' ) </w:t>
      </w:r>
    </w:p>
    <w:p w14:paraId="4AC8039B" w14:textId="77777777" w:rsidR="00371164" w:rsidRPr="00371164" w:rsidRDefault="00371164" w:rsidP="00371164">
      <w:pPr>
        <w:snapToGrid w:val="0"/>
        <w:spacing w:line="200" w:lineRule="exact"/>
        <w:ind w:leftChars="203" w:left="1207" w:hangingChars="400" w:hanging="720"/>
        <w:jc w:val="both"/>
        <w:rPr>
          <w:rFonts w:ascii="Arial" w:eastAsia="標楷體" w:hAnsi="標楷體" w:cs="Arial"/>
          <w:color w:val="000000" w:themeColor="text1"/>
          <w:sz w:val="18"/>
          <w:szCs w:val="18"/>
        </w:rPr>
      </w:pPr>
      <w:r w:rsidRPr="00371164">
        <w:rPr>
          <w:rFonts w:ascii="Arial" w:eastAsia="標楷體" w:hAnsi="標楷體" w:cs="Arial" w:hint="eastAsia"/>
          <w:color w:val="000000" w:themeColor="text1"/>
          <w:sz w:val="18"/>
          <w:szCs w:val="18"/>
        </w:rPr>
        <w:t xml:space="preserve">  2. </w:t>
      </w:r>
      <w:r w:rsidRPr="00371164">
        <w:rPr>
          <w:rFonts w:ascii="Arial" w:eastAsia="標楷體" w:hAnsi="標楷體" w:cs="Arial" w:hint="eastAsia"/>
          <w:color w:val="000000" w:themeColor="text1"/>
          <w:sz w:val="18"/>
          <w:szCs w:val="18"/>
        </w:rPr>
        <w:t>指數股票型基金</w:t>
      </w:r>
      <w:r w:rsidRPr="00371164">
        <w:rPr>
          <w:rFonts w:ascii="Arial" w:eastAsia="標楷體" w:hAnsi="標楷體" w:cs="Arial" w:hint="eastAsia"/>
          <w:color w:val="000000" w:themeColor="text1"/>
          <w:sz w:val="18"/>
          <w:szCs w:val="18"/>
        </w:rPr>
        <w:t>(ETF)</w:t>
      </w:r>
      <w:r w:rsidRPr="00371164">
        <w:rPr>
          <w:rFonts w:ascii="Arial" w:eastAsia="標楷體" w:hAnsi="標楷體" w:cs="Arial" w:hint="eastAsia"/>
          <w:color w:val="000000" w:themeColor="text1"/>
          <w:sz w:val="18"/>
          <w:szCs w:val="18"/>
        </w:rPr>
        <w:t>進行分割或反分割時之調整公式：</w:t>
      </w:r>
      <w:r w:rsidRPr="00371164">
        <w:rPr>
          <w:rFonts w:ascii="Arial" w:eastAsia="標楷體" w:hAnsi="標楷體" w:cs="Arial" w:hint="eastAsia"/>
          <w:color w:val="000000" w:themeColor="text1"/>
          <w:sz w:val="18"/>
          <w:szCs w:val="18"/>
        </w:rPr>
        <w:t xml:space="preserve"> </w:t>
      </w:r>
    </w:p>
    <w:p w14:paraId="763F20E1" w14:textId="77777777" w:rsidR="00371164" w:rsidRPr="00371164" w:rsidRDefault="00371164" w:rsidP="003D6C5B">
      <w:pPr>
        <w:snapToGrid w:val="0"/>
        <w:spacing w:line="200" w:lineRule="exact"/>
        <w:ind w:leftChars="453" w:left="1357" w:hangingChars="150" w:hanging="27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S' = S / b </w:t>
      </w:r>
    </w:p>
    <w:p w14:paraId="6EDD5431" w14:textId="77777777" w:rsidR="00371164" w:rsidRPr="00371164" w:rsidRDefault="00371164" w:rsidP="003D6C5B">
      <w:pPr>
        <w:snapToGrid w:val="0"/>
        <w:spacing w:line="200" w:lineRule="exact"/>
        <w:ind w:firstLineChars="600" w:firstLine="108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K' = K x ( S' / S )  </w:t>
      </w:r>
    </w:p>
    <w:p w14:paraId="3BF3D0C4" w14:textId="77777777" w:rsidR="00371164" w:rsidRPr="00371164" w:rsidRDefault="00371164" w:rsidP="003D6C5B">
      <w:pPr>
        <w:snapToGrid w:val="0"/>
        <w:spacing w:line="200" w:lineRule="exact"/>
        <w:ind w:leftChars="453" w:left="1357" w:hangingChars="150" w:hanging="270"/>
        <w:jc w:val="both"/>
        <w:rPr>
          <w:rFonts w:ascii="Arial" w:eastAsia="標楷體" w:hAnsi="標楷體" w:cs="Arial"/>
          <w:color w:val="000000" w:themeColor="text1"/>
          <w:sz w:val="18"/>
          <w:szCs w:val="18"/>
        </w:rPr>
      </w:pPr>
      <w:r w:rsidRPr="00371164">
        <w:rPr>
          <w:rFonts w:ascii="Arial" w:eastAsia="標楷體" w:hAnsi="標楷體" w:cs="Arial"/>
          <w:color w:val="000000" w:themeColor="text1"/>
          <w:sz w:val="18"/>
          <w:szCs w:val="18"/>
        </w:rPr>
        <w:t xml:space="preserve">N' = N x ( S / S' )  </w:t>
      </w:r>
    </w:p>
    <w:p w14:paraId="139CB783" w14:textId="77777777" w:rsidR="00B25572" w:rsidRPr="00371164" w:rsidRDefault="00371164" w:rsidP="00371164">
      <w:pPr>
        <w:snapToGrid w:val="0"/>
        <w:spacing w:line="200" w:lineRule="exact"/>
        <w:ind w:leftChars="203" w:left="1207" w:hangingChars="400" w:hanging="720"/>
        <w:jc w:val="both"/>
        <w:rPr>
          <w:rFonts w:ascii="Arial" w:eastAsia="標楷體" w:hAnsi="標楷體" w:cs="Arial"/>
          <w:color w:val="000000" w:themeColor="text1"/>
          <w:sz w:val="18"/>
          <w:szCs w:val="18"/>
        </w:rPr>
      </w:pPr>
      <w:r w:rsidRPr="00371164">
        <w:rPr>
          <w:rFonts w:ascii="Arial" w:eastAsia="標楷體" w:hAnsi="標楷體" w:cs="Arial" w:hint="eastAsia"/>
          <w:color w:val="000000" w:themeColor="text1"/>
          <w:sz w:val="18"/>
          <w:szCs w:val="18"/>
        </w:rPr>
        <w:t>其中，</w:t>
      </w:r>
      <w:r w:rsidRPr="00371164">
        <w:rPr>
          <w:rFonts w:ascii="Arial" w:eastAsia="標楷體" w:hAnsi="標楷體" w:cs="Arial" w:hint="eastAsia"/>
          <w:color w:val="000000" w:themeColor="text1"/>
          <w:sz w:val="18"/>
          <w:szCs w:val="18"/>
        </w:rPr>
        <w:t>b</w:t>
      </w:r>
      <w:r w:rsidRPr="00371164">
        <w:rPr>
          <w:rFonts w:ascii="Arial" w:eastAsia="標楷體" w:hAnsi="標楷體" w:cs="Arial" w:hint="eastAsia"/>
          <w:color w:val="000000" w:themeColor="text1"/>
          <w:sz w:val="18"/>
          <w:szCs w:val="18"/>
        </w:rPr>
        <w:t>代表分割或反分割比例，即</w:t>
      </w:r>
      <w:r w:rsidRPr="00371164">
        <w:rPr>
          <w:rFonts w:ascii="Arial" w:eastAsia="標楷體" w:hAnsi="標楷體" w:cs="Arial" w:hint="eastAsia"/>
          <w:color w:val="000000" w:themeColor="text1"/>
          <w:sz w:val="18"/>
          <w:szCs w:val="18"/>
        </w:rPr>
        <w:t xml:space="preserve">b= </w:t>
      </w:r>
      <w:r w:rsidRPr="00371164">
        <w:rPr>
          <w:rFonts w:ascii="Arial" w:eastAsia="標楷體" w:hAnsi="標楷體" w:cs="Arial" w:hint="eastAsia"/>
          <w:color w:val="000000" w:themeColor="text1"/>
          <w:sz w:val="18"/>
          <w:szCs w:val="18"/>
        </w:rPr>
        <w:t>分割（反分割）後受益權單位數</w:t>
      </w:r>
      <w:r w:rsidRPr="00371164">
        <w:rPr>
          <w:rFonts w:ascii="Arial" w:eastAsia="標楷體" w:hAnsi="標楷體" w:cs="Arial" w:hint="eastAsia"/>
          <w:color w:val="000000" w:themeColor="text1"/>
          <w:sz w:val="18"/>
          <w:szCs w:val="18"/>
        </w:rPr>
        <w:t xml:space="preserve"> / </w:t>
      </w:r>
      <w:r w:rsidRPr="00371164">
        <w:rPr>
          <w:rFonts w:ascii="Arial" w:eastAsia="標楷體" w:hAnsi="標楷體" w:cs="Arial" w:hint="eastAsia"/>
          <w:color w:val="000000" w:themeColor="text1"/>
          <w:sz w:val="18"/>
          <w:szCs w:val="18"/>
        </w:rPr>
        <w:t>分割（反分割）前受益權單位數</w:t>
      </w:r>
    </w:p>
    <w:p w14:paraId="7E38DAED" w14:textId="77777777" w:rsidR="00B25572" w:rsidRPr="00507020" w:rsidRDefault="00507020" w:rsidP="00507020">
      <w:pPr>
        <w:snapToGrid w:val="0"/>
        <w:spacing w:line="200" w:lineRule="exact"/>
        <w:ind w:leftChars="75" w:left="450" w:hangingChars="150" w:hanging="270"/>
        <w:jc w:val="both"/>
        <w:rPr>
          <w:rFonts w:ascii="Arial" w:eastAsia="標楷體" w:hAnsi="標楷體" w:cs="Arial"/>
          <w:color w:val="000000" w:themeColor="text1"/>
          <w:sz w:val="18"/>
          <w:szCs w:val="18"/>
        </w:rPr>
      </w:pPr>
      <w:r w:rsidRPr="00507020">
        <w:rPr>
          <w:rFonts w:ascii="Arial" w:eastAsia="標楷體" w:hAnsi="標楷體" w:cs="Arial" w:hint="eastAsia"/>
          <w:color w:val="000000" w:themeColor="text1"/>
          <w:sz w:val="18"/>
          <w:szCs w:val="18"/>
        </w:rPr>
        <w:t>(</w:t>
      </w:r>
      <w:r w:rsidR="00371164">
        <w:rPr>
          <w:rFonts w:ascii="Arial" w:eastAsia="標楷體" w:hAnsi="標楷體" w:cs="Arial" w:hint="eastAsia"/>
          <w:color w:val="000000" w:themeColor="text1"/>
          <w:sz w:val="18"/>
          <w:szCs w:val="18"/>
        </w:rPr>
        <w:t>三</w:t>
      </w:r>
      <w:r w:rsidRPr="00507020">
        <w:rPr>
          <w:rFonts w:ascii="Arial" w:eastAsia="標楷體" w:hAnsi="標楷體" w:cs="Arial" w:hint="eastAsia"/>
          <w:color w:val="000000" w:themeColor="text1"/>
          <w:sz w:val="18"/>
          <w:szCs w:val="18"/>
        </w:rPr>
        <w:t>)</w:t>
      </w:r>
      <w:r w:rsidR="00B25572" w:rsidRPr="00507020">
        <w:rPr>
          <w:rFonts w:ascii="Arial" w:eastAsia="標楷體" w:hAnsi="標楷體" w:cs="Arial" w:hint="eastAsia"/>
          <w:color w:val="000000" w:themeColor="text1"/>
          <w:sz w:val="18"/>
          <w:szCs w:val="18"/>
        </w:rPr>
        <w:t>依上述規定計算之新履約價格，以百分位為最小單位，並以千分位四捨五入計算，新行使比例以千分位為最小單位，並以萬分位四捨五入計算。</w:t>
      </w:r>
    </w:p>
    <w:p w14:paraId="6633BB18" w14:textId="77777777" w:rsidR="00B25572" w:rsidRPr="006675C9" w:rsidRDefault="00507020" w:rsidP="00507020">
      <w:pPr>
        <w:snapToGrid w:val="0"/>
        <w:spacing w:line="200" w:lineRule="exact"/>
        <w:ind w:firstLineChars="100" w:firstLine="180"/>
        <w:jc w:val="both"/>
        <w:rPr>
          <w:rFonts w:ascii="Arial" w:eastAsia="標楷體" w:hAnsi="標楷體" w:cs="Arial"/>
          <w:color w:val="000000" w:themeColor="text1"/>
          <w:sz w:val="18"/>
          <w:szCs w:val="18"/>
        </w:rPr>
      </w:pPr>
      <w:r>
        <w:rPr>
          <w:rFonts w:ascii="Arial" w:eastAsia="標楷體" w:hAnsi="標楷體" w:cs="Arial" w:hint="eastAsia"/>
          <w:color w:val="000000" w:themeColor="text1"/>
          <w:sz w:val="18"/>
          <w:szCs w:val="18"/>
        </w:rPr>
        <w:t>(</w:t>
      </w:r>
      <w:r w:rsidR="00371164">
        <w:rPr>
          <w:rFonts w:ascii="Arial" w:eastAsia="標楷體" w:hAnsi="標楷體" w:cs="Arial" w:hint="eastAsia"/>
          <w:color w:val="000000" w:themeColor="text1"/>
          <w:sz w:val="18"/>
          <w:szCs w:val="18"/>
        </w:rPr>
        <w:t>四</w:t>
      </w:r>
      <w:r>
        <w:rPr>
          <w:rFonts w:ascii="Arial" w:eastAsia="標楷體" w:hAnsi="標楷體" w:cs="Arial" w:hint="eastAsia"/>
          <w:color w:val="000000" w:themeColor="text1"/>
          <w:sz w:val="18"/>
          <w:szCs w:val="18"/>
        </w:rPr>
        <w:t>)</w:t>
      </w:r>
      <w:r w:rsidR="00B25572" w:rsidRPr="006675C9">
        <w:rPr>
          <w:rFonts w:ascii="Arial" w:eastAsia="標楷體" w:hAnsi="標楷體" w:cs="Arial" w:hint="eastAsia"/>
          <w:color w:val="000000" w:themeColor="text1"/>
          <w:sz w:val="18"/>
          <w:szCs w:val="18"/>
        </w:rPr>
        <w:t>前述事項發生時，發行人將依櫃買中心規定辦理公告。</w:t>
      </w:r>
    </w:p>
    <w:p w14:paraId="699D7171"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p>
    <w:p w14:paraId="5815E134" w14:textId="77777777" w:rsidR="00B25572" w:rsidRPr="006675C9" w:rsidRDefault="00B25572" w:rsidP="006675C9">
      <w:pPr>
        <w:numPr>
          <w:ilvl w:val="0"/>
          <w:numId w:val="3"/>
        </w:numPr>
        <w:tabs>
          <w:tab w:val="clear" w:pos="482"/>
          <w:tab w:val="num" w:pos="360"/>
        </w:tabs>
        <w:snapToGrid w:val="0"/>
        <w:spacing w:line="200" w:lineRule="exact"/>
        <w:ind w:left="0" w:firstLine="0"/>
        <w:rPr>
          <w:rFonts w:ascii="Arial" w:eastAsia="標楷體" w:hAnsi="標楷體" w:cs="Arial"/>
          <w:b/>
          <w:color w:val="000000" w:themeColor="text1"/>
          <w:sz w:val="18"/>
          <w:szCs w:val="18"/>
        </w:rPr>
      </w:pPr>
      <w:r w:rsidRPr="006675C9">
        <w:rPr>
          <w:rFonts w:ascii="Arial" w:eastAsia="標楷體" w:hAnsi="標楷體" w:cs="Arial" w:hint="eastAsia"/>
          <w:b/>
          <w:color w:val="000000" w:themeColor="text1"/>
          <w:sz w:val="18"/>
          <w:szCs w:val="18"/>
        </w:rPr>
        <w:t>標的證券公司有公司合併、收購及股份轉換、變更交易方式、停止買賣、暫停交易、終止上櫃或分割情事之處理</w:t>
      </w:r>
    </w:p>
    <w:p w14:paraId="5A6D69F8" w14:textId="77777777"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一</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公司合併、收購及股份轉換：</w:t>
      </w:r>
    </w:p>
    <w:p w14:paraId="32874661" w14:textId="77777777" w:rsidR="00650180" w:rsidRPr="00650180" w:rsidRDefault="00650180" w:rsidP="00650180">
      <w:pPr>
        <w:snapToGrid w:val="0"/>
        <w:spacing w:line="200" w:lineRule="exact"/>
        <w:ind w:leftChars="253" w:left="1057" w:hangingChars="250" w:hanging="45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1.</w:t>
      </w:r>
      <w:r w:rsidRPr="00650180">
        <w:rPr>
          <w:rFonts w:ascii="Arial" w:eastAsia="標楷體" w:hAnsi="標楷體" w:cs="Arial" w:hint="eastAsia"/>
          <w:color w:val="000000" w:themeColor="text1"/>
          <w:sz w:val="18"/>
          <w:szCs w:val="18"/>
        </w:rPr>
        <w:t>標的證券發行公司因合併、收購及股份轉換後為存續公司者，本權證之發行條件不予變更。</w:t>
      </w:r>
    </w:p>
    <w:p w14:paraId="0AA3D7AD" w14:textId="77777777" w:rsidR="00650180" w:rsidRPr="00650180" w:rsidRDefault="00650180" w:rsidP="00650180">
      <w:pPr>
        <w:snapToGrid w:val="0"/>
        <w:spacing w:line="200" w:lineRule="exact"/>
        <w:ind w:leftChars="253" w:left="1057" w:hangingChars="250" w:hanging="45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2.</w:t>
      </w:r>
      <w:r w:rsidR="0018673E">
        <w:rPr>
          <w:rFonts w:ascii="Arial" w:eastAsia="標楷體" w:hAnsi="標楷體" w:cs="Arial" w:hint="eastAsia"/>
          <w:color w:val="000000" w:themeColor="text1"/>
          <w:sz w:val="18"/>
          <w:szCs w:val="18"/>
        </w:rPr>
        <w:t>標的證券發行公司因合併、收購及股份轉換而消滅或下櫃</w:t>
      </w:r>
      <w:r w:rsidRPr="00650180">
        <w:rPr>
          <w:rFonts w:ascii="Arial" w:eastAsia="標楷體" w:hAnsi="標楷體" w:cs="Arial" w:hint="eastAsia"/>
          <w:color w:val="000000" w:themeColor="text1"/>
          <w:sz w:val="18"/>
          <w:szCs w:val="18"/>
        </w:rPr>
        <w:t>，若對價條件為以下情境者，本權證將依本條</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五</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之結算辦法進行結算。</w:t>
      </w:r>
    </w:p>
    <w:p w14:paraId="4A95B28E" w14:textId="77777777" w:rsidR="00650180" w:rsidRPr="00650180" w:rsidRDefault="00650180" w:rsidP="00650180">
      <w:pPr>
        <w:snapToGrid w:val="0"/>
        <w:spacing w:line="200" w:lineRule="exact"/>
        <w:ind w:leftChars="303" w:left="1087" w:hangingChars="200" w:hanging="36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(1)</w:t>
      </w:r>
      <w:r w:rsidRPr="00650180">
        <w:rPr>
          <w:rFonts w:ascii="Arial" w:eastAsia="標楷體" w:hAnsi="標楷體" w:cs="Arial" w:hint="eastAsia"/>
          <w:color w:val="000000" w:themeColor="text1"/>
          <w:sz w:val="18"/>
          <w:szCs w:val="18"/>
        </w:rPr>
        <w:t>對價條件為百分之百現金。</w:t>
      </w:r>
    </w:p>
    <w:p w14:paraId="6BEFDFF4" w14:textId="77777777" w:rsidR="00650180" w:rsidRPr="00650180" w:rsidRDefault="00650180" w:rsidP="00650180">
      <w:pPr>
        <w:snapToGrid w:val="0"/>
        <w:spacing w:line="200" w:lineRule="exact"/>
        <w:ind w:leftChars="303" w:left="1087" w:hangingChars="200" w:hanging="36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(2)</w:t>
      </w:r>
      <w:r w:rsidRPr="00650180">
        <w:rPr>
          <w:rFonts w:ascii="Arial" w:eastAsia="標楷體" w:hAnsi="標楷體" w:cs="Arial" w:hint="eastAsia"/>
          <w:color w:val="000000" w:themeColor="text1"/>
          <w:sz w:val="18"/>
          <w:szCs w:val="18"/>
        </w:rPr>
        <w:t>對價條件除存續公司普通股股份、現金之外，同時包含其他有價證券。</w:t>
      </w:r>
    </w:p>
    <w:p w14:paraId="6C6F82D5" w14:textId="77777777" w:rsidR="00650180" w:rsidRPr="00650180" w:rsidRDefault="00650180" w:rsidP="00650180">
      <w:pPr>
        <w:snapToGrid w:val="0"/>
        <w:spacing w:line="200" w:lineRule="exact"/>
        <w:ind w:leftChars="253" w:left="1057" w:hangingChars="250" w:hanging="45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3.</w:t>
      </w:r>
      <w:r w:rsidR="0018673E">
        <w:rPr>
          <w:rFonts w:ascii="Arial" w:eastAsia="標楷體" w:hAnsi="標楷體" w:cs="Arial" w:hint="eastAsia"/>
          <w:color w:val="000000" w:themeColor="text1"/>
          <w:sz w:val="18"/>
          <w:szCs w:val="18"/>
        </w:rPr>
        <w:t>標的證券發行公司因合併、收購及股份轉換而消滅或下櫃</w:t>
      </w:r>
      <w:r w:rsidRPr="00650180">
        <w:rPr>
          <w:rFonts w:ascii="Arial" w:eastAsia="標楷體" w:hAnsi="標楷體" w:cs="Arial" w:hint="eastAsia"/>
          <w:color w:val="000000" w:themeColor="text1"/>
          <w:sz w:val="18"/>
          <w:szCs w:val="18"/>
        </w:rPr>
        <w:t>，且對價條件不符合本條</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一</w:t>
      </w:r>
      <w:r w:rsidRPr="00650180">
        <w:rPr>
          <w:rFonts w:ascii="Arial" w:eastAsia="標楷體" w:hAnsi="標楷體" w:cs="Arial" w:hint="eastAsia"/>
          <w:color w:val="000000" w:themeColor="text1"/>
          <w:sz w:val="18"/>
          <w:szCs w:val="18"/>
        </w:rPr>
        <w:t>)2.</w:t>
      </w:r>
      <w:r w:rsidRPr="00650180">
        <w:rPr>
          <w:rFonts w:ascii="Arial" w:eastAsia="標楷體" w:hAnsi="標楷體" w:cs="Arial" w:hint="eastAsia"/>
          <w:color w:val="000000" w:themeColor="text1"/>
          <w:sz w:val="18"/>
          <w:szCs w:val="18"/>
        </w:rPr>
        <w:t>者，發行人依以下不同情境分別辦理。</w:t>
      </w:r>
    </w:p>
    <w:p w14:paraId="0CFB1480" w14:textId="77777777" w:rsidR="00650180" w:rsidRPr="00650180" w:rsidRDefault="00650180" w:rsidP="00650180">
      <w:pPr>
        <w:snapToGrid w:val="0"/>
        <w:spacing w:line="200" w:lineRule="exact"/>
        <w:ind w:firstLineChars="400" w:firstLine="72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(1)</w:t>
      </w:r>
      <w:r w:rsidRPr="00650180">
        <w:rPr>
          <w:rFonts w:ascii="Arial" w:eastAsia="標楷體" w:hAnsi="標楷體" w:cs="Arial" w:hint="eastAsia"/>
          <w:color w:val="000000" w:themeColor="text1"/>
          <w:sz w:val="18"/>
          <w:szCs w:val="18"/>
        </w:rPr>
        <w:t>存續公司於股份轉換基準日後為</w:t>
      </w:r>
      <w:r w:rsidR="00CA4848" w:rsidRPr="00CA4848">
        <w:rPr>
          <w:rFonts w:ascii="Arial" w:eastAsia="標楷體" w:hAnsi="標楷體" w:cs="Arial" w:hint="eastAsia"/>
          <w:color w:val="000000" w:themeColor="text1"/>
          <w:sz w:val="18"/>
          <w:szCs w:val="18"/>
        </w:rPr>
        <w:t>上市</w:t>
      </w:r>
      <w:r w:rsidR="00CA4848" w:rsidRPr="00CA4848">
        <w:rPr>
          <w:rFonts w:ascii="Arial" w:eastAsia="標楷體" w:hAnsi="標楷體" w:cs="Arial" w:hint="eastAsia"/>
          <w:color w:val="000000" w:themeColor="text1"/>
          <w:sz w:val="18"/>
          <w:szCs w:val="18"/>
        </w:rPr>
        <w:t>(</w:t>
      </w:r>
      <w:r w:rsidR="00CA4848" w:rsidRPr="00CA4848">
        <w:rPr>
          <w:rFonts w:ascii="Arial" w:eastAsia="標楷體" w:hAnsi="標楷體" w:cs="Arial" w:hint="eastAsia"/>
          <w:color w:val="000000" w:themeColor="text1"/>
          <w:sz w:val="18"/>
          <w:szCs w:val="18"/>
        </w:rPr>
        <w:t>櫃</w:t>
      </w:r>
      <w:r w:rsidR="00CA4848" w:rsidRPr="00CA4848">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權證可發行標的時，依本發行計畫第十條第</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一</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款公式調整履約價格及行使比例。</w:t>
      </w:r>
    </w:p>
    <w:p w14:paraId="174E345D" w14:textId="77777777" w:rsidR="00E54D70" w:rsidRDefault="00650180" w:rsidP="00650180">
      <w:pPr>
        <w:snapToGrid w:val="0"/>
        <w:spacing w:line="200" w:lineRule="exact"/>
        <w:ind w:leftChars="303" w:left="1087" w:hangingChars="200" w:hanging="36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(2)</w:t>
      </w:r>
      <w:r w:rsidRPr="00650180">
        <w:rPr>
          <w:rFonts w:ascii="Arial" w:eastAsia="標楷體" w:hAnsi="標楷體" w:cs="Arial" w:hint="eastAsia"/>
          <w:color w:val="000000" w:themeColor="text1"/>
          <w:sz w:val="18"/>
          <w:szCs w:val="18"/>
        </w:rPr>
        <w:t>存續公司於股份轉換基準日後非為權證可發行標的時，本權證依本條</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五</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之結算辦法進行結算，但若存續公司為本次股份轉換基準</w:t>
      </w:r>
    </w:p>
    <w:p w14:paraId="2E3BA0AA" w14:textId="77777777" w:rsidR="00CA4848" w:rsidRDefault="00650180" w:rsidP="00650180">
      <w:pPr>
        <w:snapToGrid w:val="0"/>
        <w:spacing w:line="200" w:lineRule="exact"/>
        <w:ind w:leftChars="303" w:left="1087" w:hangingChars="200" w:hanging="36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日後新掛牌之國內</w:t>
      </w:r>
      <w:r w:rsidR="00CA4848" w:rsidRPr="00CA4848">
        <w:rPr>
          <w:rFonts w:ascii="Arial" w:eastAsia="標楷體" w:hAnsi="標楷體" w:cs="Arial" w:hint="eastAsia"/>
          <w:color w:val="000000" w:themeColor="text1"/>
          <w:sz w:val="18"/>
          <w:szCs w:val="18"/>
        </w:rPr>
        <w:t>上市</w:t>
      </w:r>
      <w:r w:rsidR="00CA4848" w:rsidRPr="00CA4848">
        <w:rPr>
          <w:rFonts w:ascii="Arial" w:eastAsia="標楷體" w:hAnsi="標楷體" w:cs="Arial" w:hint="eastAsia"/>
          <w:color w:val="000000" w:themeColor="text1"/>
          <w:sz w:val="18"/>
          <w:szCs w:val="18"/>
        </w:rPr>
        <w:t>(</w:t>
      </w:r>
      <w:r w:rsidR="00CA4848" w:rsidRPr="00CA4848">
        <w:rPr>
          <w:rFonts w:ascii="Arial" w:eastAsia="標楷體" w:hAnsi="標楷體" w:cs="Arial" w:hint="eastAsia"/>
          <w:color w:val="000000" w:themeColor="text1"/>
          <w:sz w:val="18"/>
          <w:szCs w:val="18"/>
        </w:rPr>
        <w:t>櫃</w:t>
      </w:r>
      <w:r w:rsidR="00CA4848" w:rsidRPr="00CA4848">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金融控股公司，或為直接持有原標的證券發行公司百分之百已發行股份，且為本次股份轉換基準日後新掛牌</w:t>
      </w:r>
    </w:p>
    <w:p w14:paraId="408F5B2C" w14:textId="77777777" w:rsidR="00650180" w:rsidRDefault="00650180" w:rsidP="00CA4848">
      <w:pPr>
        <w:snapToGrid w:val="0"/>
        <w:spacing w:line="200" w:lineRule="exact"/>
        <w:ind w:leftChars="303" w:left="1087" w:hangingChars="200" w:hanging="360"/>
        <w:jc w:val="both"/>
        <w:rPr>
          <w:rFonts w:ascii="Arial" w:eastAsia="標楷體" w:hAnsi="標楷體" w:cs="Arial"/>
          <w:color w:val="000000" w:themeColor="text1"/>
          <w:sz w:val="18"/>
          <w:szCs w:val="18"/>
        </w:rPr>
      </w:pPr>
      <w:r w:rsidRPr="00650180">
        <w:rPr>
          <w:rFonts w:ascii="Arial" w:eastAsia="標楷體" w:hAnsi="標楷體" w:cs="Arial" w:hint="eastAsia"/>
          <w:color w:val="000000" w:themeColor="text1"/>
          <w:sz w:val="18"/>
          <w:szCs w:val="18"/>
        </w:rPr>
        <w:t>之國內</w:t>
      </w:r>
      <w:r w:rsidR="00CA4848" w:rsidRPr="00CA4848">
        <w:rPr>
          <w:rFonts w:ascii="Arial" w:eastAsia="標楷體" w:hAnsi="標楷體" w:cs="Arial" w:hint="eastAsia"/>
          <w:color w:val="000000" w:themeColor="text1"/>
          <w:sz w:val="18"/>
          <w:szCs w:val="18"/>
        </w:rPr>
        <w:t>上市</w:t>
      </w:r>
      <w:r w:rsidR="00CA4848" w:rsidRPr="00CA4848">
        <w:rPr>
          <w:rFonts w:ascii="Arial" w:eastAsia="標楷體" w:hAnsi="標楷體" w:cs="Arial" w:hint="eastAsia"/>
          <w:color w:val="000000" w:themeColor="text1"/>
          <w:sz w:val="18"/>
          <w:szCs w:val="18"/>
        </w:rPr>
        <w:t>(</w:t>
      </w:r>
      <w:r w:rsidR="00CA4848" w:rsidRPr="00CA4848">
        <w:rPr>
          <w:rFonts w:ascii="Arial" w:eastAsia="標楷體" w:hAnsi="標楷體" w:cs="Arial" w:hint="eastAsia"/>
          <w:color w:val="000000" w:themeColor="text1"/>
          <w:sz w:val="18"/>
          <w:szCs w:val="18"/>
        </w:rPr>
        <w:t>櫃</w:t>
      </w:r>
      <w:r w:rsidR="00CA4848" w:rsidRPr="00CA4848">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投資控股公司時，則依本發行計畫第十條第</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一</w:t>
      </w:r>
      <w:r w:rsidRPr="00650180">
        <w:rPr>
          <w:rFonts w:ascii="Arial" w:eastAsia="標楷體" w:hAnsi="標楷體" w:cs="Arial" w:hint="eastAsia"/>
          <w:color w:val="000000" w:themeColor="text1"/>
          <w:sz w:val="18"/>
          <w:szCs w:val="18"/>
        </w:rPr>
        <w:t>)</w:t>
      </w:r>
      <w:r w:rsidRPr="00650180">
        <w:rPr>
          <w:rFonts w:ascii="Arial" w:eastAsia="標楷體" w:hAnsi="標楷體" w:cs="Arial" w:hint="eastAsia"/>
          <w:color w:val="000000" w:themeColor="text1"/>
          <w:sz w:val="18"/>
          <w:szCs w:val="18"/>
        </w:rPr>
        <w:t>款公式調整履約價格及行使比例。</w:t>
      </w:r>
    </w:p>
    <w:p w14:paraId="56A9706A" w14:textId="77777777" w:rsidR="00B25572" w:rsidRPr="006675C9" w:rsidRDefault="00B25572" w:rsidP="00650180">
      <w:pPr>
        <w:snapToGrid w:val="0"/>
        <w:spacing w:line="200" w:lineRule="exact"/>
        <w:ind w:firstLineChars="150" w:firstLine="27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二</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標的證券變更交易方式：</w:t>
      </w:r>
    </w:p>
    <w:p w14:paraId="3D4A6CA6" w14:textId="77777777" w:rsidR="00650180" w:rsidRDefault="00B25572" w:rsidP="00650180">
      <w:pPr>
        <w:snapToGrid w:val="0"/>
        <w:spacing w:line="200" w:lineRule="exact"/>
        <w:ind w:leftChars="211" w:left="95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標的證券變更交易方式時，本權證之發行條件不予變更。但發行人認有必要時，得報經櫃買中心同意後，變更發行條件或為其他適當之</w:t>
      </w:r>
    </w:p>
    <w:p w14:paraId="6B36E37C" w14:textId="77777777" w:rsidR="00B25572" w:rsidRPr="006675C9" w:rsidRDefault="00B25572" w:rsidP="00650180">
      <w:pPr>
        <w:snapToGrid w:val="0"/>
        <w:spacing w:line="200" w:lineRule="exact"/>
        <w:ind w:leftChars="211" w:left="95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處理。</w:t>
      </w:r>
    </w:p>
    <w:p w14:paraId="33C1FB51" w14:textId="77777777"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三</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標的證券停止買賣：</w:t>
      </w:r>
    </w:p>
    <w:p w14:paraId="33D3223A" w14:textId="77777777" w:rsidR="00507020" w:rsidRDefault="00B25572" w:rsidP="006675C9">
      <w:pPr>
        <w:snapToGrid w:val="0"/>
        <w:spacing w:line="200" w:lineRule="exact"/>
        <w:ind w:leftChars="161" w:left="926"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標的證券停止買賣期間，本權證亦停止買賣及停止履約；標的證券恢復買賣後，依本發行計畫之規定辦理。標的證券停止買賣期間逾本權</w:t>
      </w:r>
    </w:p>
    <w:p w14:paraId="45D4CFB4" w14:textId="77777777" w:rsidR="00B25572" w:rsidRPr="006675C9" w:rsidRDefault="00B25572" w:rsidP="00507020">
      <w:pPr>
        <w:snapToGrid w:val="0"/>
        <w:spacing w:line="200" w:lineRule="exact"/>
        <w:ind w:leftChars="161" w:left="926"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證到期日者，本權證於視為到期日之次日失其效力。</w:t>
      </w:r>
    </w:p>
    <w:p w14:paraId="103114EB" w14:textId="77777777"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四</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標的證券暫停交易</w:t>
      </w:r>
    </w:p>
    <w:p w14:paraId="45FC3DC2" w14:textId="77777777" w:rsidR="00507020" w:rsidRDefault="00B25572" w:rsidP="006675C9">
      <w:pPr>
        <w:snapToGrid w:val="0"/>
        <w:spacing w:line="200" w:lineRule="exact"/>
        <w:ind w:leftChars="190" w:left="90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標的證券暫停交易期間，本權證亦暫停交易、停止履約及不提供報價；標的證券恢復交易後，依本發行計畫之規定辦理。標的證券暫停交</w:t>
      </w:r>
    </w:p>
    <w:p w14:paraId="78DA12C4" w14:textId="77777777" w:rsidR="00B25572" w:rsidRPr="006675C9" w:rsidRDefault="00B25572" w:rsidP="00507020">
      <w:pPr>
        <w:snapToGrid w:val="0"/>
        <w:spacing w:line="200" w:lineRule="exact"/>
        <w:ind w:leftChars="190" w:left="90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易期間逾本權證到期日者，本權證於視為到期日之次日失其效力。</w:t>
      </w:r>
    </w:p>
    <w:p w14:paraId="610EDA7E" w14:textId="77777777"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五</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標的證券終止上櫃及分割</w:t>
      </w:r>
      <w:r w:rsidRPr="006675C9">
        <w:rPr>
          <w:rFonts w:ascii="Arial" w:eastAsia="標楷體" w:hAnsi="標楷體" w:cs="Arial" w:hint="eastAsia"/>
          <w:color w:val="000000" w:themeColor="text1"/>
          <w:sz w:val="18"/>
          <w:szCs w:val="18"/>
        </w:rPr>
        <w:t xml:space="preserve"> </w:t>
      </w:r>
    </w:p>
    <w:p w14:paraId="11E10631" w14:textId="77777777" w:rsidR="003C7D4F" w:rsidRPr="003C7D4F" w:rsidRDefault="003C7D4F" w:rsidP="00CA2C17">
      <w:pPr>
        <w:tabs>
          <w:tab w:val="left" w:pos="2340"/>
        </w:tabs>
        <w:spacing w:line="0" w:lineRule="atLeast"/>
        <w:ind w:leftChars="336" w:left="806"/>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1.</w:t>
      </w:r>
      <w:r w:rsidRPr="003C7D4F">
        <w:rPr>
          <w:rFonts w:ascii="Arial" w:eastAsia="標楷體" w:hAnsi="Arial" w:hint="eastAsia"/>
          <w:color w:val="000000"/>
          <w:sz w:val="18"/>
          <w:szCs w:val="18"/>
        </w:rPr>
        <w:t>本權證之提前到期日為標的證券之最後交易日，本權證之最後交易日為提前到期日前二個營業日。若標的證券於事件發生當日即公告停止買賣，則本權證之最後交易日為標的證券停止買賣之前一營業日，並於次二營業日到期。發行人於提前到期日後三十日內，採現金結算方式結算予持有人。</w:t>
      </w:r>
    </w:p>
    <w:p w14:paraId="00B7474B" w14:textId="77777777" w:rsidR="003C7D4F" w:rsidRPr="003C7D4F" w:rsidRDefault="003C7D4F" w:rsidP="003C7D4F">
      <w:pPr>
        <w:tabs>
          <w:tab w:val="left" w:pos="2340"/>
        </w:tabs>
        <w:spacing w:line="0" w:lineRule="atLeast"/>
        <w:ind w:left="840" w:firstLineChars="150" w:firstLine="27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本權證結算價格之計算：</w:t>
      </w:r>
    </w:p>
    <w:p w14:paraId="1236B249" w14:textId="77777777" w:rsidR="003C7D4F" w:rsidRPr="003C7D4F" w:rsidRDefault="003C7D4F" w:rsidP="003C7D4F">
      <w:pPr>
        <w:tabs>
          <w:tab w:val="left" w:pos="2340"/>
        </w:tabs>
        <w:spacing w:line="0" w:lineRule="atLeast"/>
        <w:ind w:left="120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(1)</w:t>
      </w:r>
      <w:r w:rsidRPr="003C7D4F">
        <w:rPr>
          <w:rFonts w:ascii="Arial" w:eastAsia="標楷體" w:hAnsi="Arial" w:hint="eastAsia"/>
          <w:color w:val="000000"/>
          <w:sz w:val="18"/>
          <w:szCs w:val="18"/>
        </w:rPr>
        <w:t>若標的證券為指數股票型基金（</w:t>
      </w:r>
      <w:r w:rsidRPr="003C7D4F">
        <w:rPr>
          <w:rFonts w:ascii="Arial" w:eastAsia="標楷體" w:hAnsi="Arial" w:hint="eastAsia"/>
          <w:color w:val="000000"/>
          <w:sz w:val="18"/>
          <w:szCs w:val="18"/>
        </w:rPr>
        <w:t>ETF</w:t>
      </w:r>
      <w:r w:rsidRPr="003C7D4F">
        <w:rPr>
          <w:rFonts w:ascii="Arial" w:eastAsia="標楷體" w:hAnsi="Arial" w:hint="eastAsia"/>
          <w:color w:val="000000"/>
          <w:sz w:val="18"/>
          <w:szCs w:val="18"/>
        </w:rPr>
        <w:t>），因淨值等於零或小於零公告停止買賣，則權證結算價格計算方式為以標的價格為零計算內含價值，即認購權證結算價格為</w:t>
      </w:r>
      <w:r w:rsidRPr="003C7D4F">
        <w:rPr>
          <w:rFonts w:ascii="Arial" w:eastAsia="標楷體" w:hAnsi="Arial" w:hint="eastAsia"/>
          <w:color w:val="000000"/>
          <w:sz w:val="18"/>
          <w:szCs w:val="18"/>
        </w:rPr>
        <w:t>Max</w:t>
      </w:r>
      <w:r w:rsidRPr="003C7D4F">
        <w:rPr>
          <w:rFonts w:ascii="Arial" w:eastAsia="標楷體" w:hAnsi="Arial" w:hint="eastAsia"/>
          <w:color w:val="000000"/>
          <w:sz w:val="18"/>
          <w:szCs w:val="18"/>
        </w:rPr>
        <w:t>（</w:t>
      </w:r>
      <w:r w:rsidRPr="003C7D4F">
        <w:rPr>
          <w:rFonts w:ascii="Arial" w:eastAsia="標楷體" w:hAnsi="Arial" w:hint="eastAsia"/>
          <w:color w:val="000000"/>
          <w:sz w:val="18"/>
          <w:szCs w:val="18"/>
        </w:rPr>
        <w:t xml:space="preserve">0 </w:t>
      </w:r>
      <w:r w:rsidRPr="003C7D4F">
        <w:rPr>
          <w:rFonts w:ascii="Arial" w:eastAsia="標楷體" w:hAnsi="Arial" w:hint="eastAsia"/>
          <w:color w:val="000000"/>
          <w:sz w:val="18"/>
          <w:szCs w:val="18"/>
        </w:rPr>
        <w:t>–</w:t>
      </w:r>
      <w:r w:rsidRPr="003C7D4F">
        <w:rPr>
          <w:rFonts w:ascii="Arial" w:eastAsia="標楷體" w:hAnsi="Arial" w:hint="eastAsia"/>
          <w:color w:val="000000"/>
          <w:sz w:val="18"/>
          <w:szCs w:val="18"/>
        </w:rPr>
        <w:t xml:space="preserve"> </w:t>
      </w:r>
      <w:r w:rsidRPr="003C7D4F">
        <w:rPr>
          <w:rFonts w:ascii="Arial" w:eastAsia="標楷體" w:hAnsi="Arial" w:hint="eastAsia"/>
          <w:color w:val="000000"/>
          <w:sz w:val="18"/>
          <w:szCs w:val="18"/>
        </w:rPr>
        <w:t>最新履約價格，</w:t>
      </w:r>
      <w:r w:rsidRPr="003C7D4F">
        <w:rPr>
          <w:rFonts w:ascii="Arial" w:eastAsia="標楷體" w:hAnsi="Arial" w:hint="eastAsia"/>
          <w:color w:val="000000"/>
          <w:sz w:val="18"/>
          <w:szCs w:val="18"/>
        </w:rPr>
        <w:t>0</w:t>
      </w:r>
      <w:r w:rsidRPr="003C7D4F">
        <w:rPr>
          <w:rFonts w:ascii="Arial" w:eastAsia="標楷體" w:hAnsi="Arial" w:hint="eastAsia"/>
          <w:color w:val="000000"/>
          <w:sz w:val="18"/>
          <w:szCs w:val="18"/>
        </w:rPr>
        <w:t>）</w:t>
      </w:r>
      <w:r w:rsidRPr="003C7D4F">
        <w:rPr>
          <w:rFonts w:ascii="Arial" w:eastAsia="標楷體" w:hAnsi="Arial" w:hint="eastAsia"/>
          <w:color w:val="000000"/>
          <w:sz w:val="18"/>
          <w:szCs w:val="18"/>
        </w:rPr>
        <w:t xml:space="preserve">x </w:t>
      </w:r>
      <w:r w:rsidRPr="003C7D4F">
        <w:rPr>
          <w:rFonts w:ascii="Arial" w:eastAsia="標楷體" w:hAnsi="Arial" w:hint="eastAsia"/>
          <w:color w:val="000000"/>
          <w:sz w:val="18"/>
          <w:szCs w:val="18"/>
        </w:rPr>
        <w:t>最新行使比例；認售權證結算價格為</w:t>
      </w:r>
      <w:r w:rsidRPr="003C7D4F">
        <w:rPr>
          <w:rFonts w:ascii="Arial" w:eastAsia="標楷體" w:hAnsi="Arial" w:hint="eastAsia"/>
          <w:color w:val="000000"/>
          <w:sz w:val="18"/>
          <w:szCs w:val="18"/>
        </w:rPr>
        <w:t>Max</w:t>
      </w:r>
      <w:r w:rsidRPr="003C7D4F">
        <w:rPr>
          <w:rFonts w:ascii="Arial" w:eastAsia="標楷體" w:hAnsi="Arial" w:hint="eastAsia"/>
          <w:color w:val="000000"/>
          <w:sz w:val="18"/>
          <w:szCs w:val="18"/>
        </w:rPr>
        <w:t>（最新履約價格</w:t>
      </w:r>
      <w:r w:rsidRPr="003C7D4F">
        <w:rPr>
          <w:rFonts w:ascii="Arial" w:eastAsia="標楷體" w:hAnsi="Arial" w:hint="eastAsia"/>
          <w:color w:val="000000"/>
          <w:sz w:val="18"/>
          <w:szCs w:val="18"/>
        </w:rPr>
        <w:t xml:space="preserve"> </w:t>
      </w:r>
      <w:r w:rsidRPr="003C7D4F">
        <w:rPr>
          <w:rFonts w:ascii="Arial" w:eastAsia="標楷體" w:hAnsi="Arial" w:hint="eastAsia"/>
          <w:color w:val="000000"/>
          <w:sz w:val="18"/>
          <w:szCs w:val="18"/>
        </w:rPr>
        <w:t>–</w:t>
      </w:r>
      <w:r w:rsidRPr="003C7D4F">
        <w:rPr>
          <w:rFonts w:ascii="Arial" w:eastAsia="標楷體" w:hAnsi="Arial" w:hint="eastAsia"/>
          <w:color w:val="000000"/>
          <w:sz w:val="18"/>
          <w:szCs w:val="18"/>
        </w:rPr>
        <w:t xml:space="preserve"> 0</w:t>
      </w:r>
      <w:r w:rsidRPr="003C7D4F">
        <w:rPr>
          <w:rFonts w:ascii="Arial" w:eastAsia="標楷體" w:hAnsi="Arial" w:hint="eastAsia"/>
          <w:color w:val="000000"/>
          <w:sz w:val="18"/>
          <w:szCs w:val="18"/>
        </w:rPr>
        <w:t>，</w:t>
      </w:r>
      <w:r w:rsidRPr="003C7D4F">
        <w:rPr>
          <w:rFonts w:ascii="Arial" w:eastAsia="標楷體" w:hAnsi="Arial" w:hint="eastAsia"/>
          <w:color w:val="000000"/>
          <w:sz w:val="18"/>
          <w:szCs w:val="18"/>
        </w:rPr>
        <w:t>0</w:t>
      </w:r>
      <w:r w:rsidRPr="003C7D4F">
        <w:rPr>
          <w:rFonts w:ascii="Arial" w:eastAsia="標楷體" w:hAnsi="Arial" w:hint="eastAsia"/>
          <w:color w:val="000000"/>
          <w:sz w:val="18"/>
          <w:szCs w:val="18"/>
        </w:rPr>
        <w:t>）</w:t>
      </w:r>
      <w:r w:rsidRPr="003C7D4F">
        <w:rPr>
          <w:rFonts w:ascii="Arial" w:eastAsia="標楷體" w:hAnsi="Arial" w:hint="eastAsia"/>
          <w:color w:val="000000"/>
          <w:sz w:val="18"/>
          <w:szCs w:val="18"/>
        </w:rPr>
        <w:t xml:space="preserve">x </w:t>
      </w:r>
      <w:r w:rsidRPr="003C7D4F">
        <w:rPr>
          <w:rFonts w:ascii="Arial" w:eastAsia="標楷體" w:hAnsi="Arial" w:hint="eastAsia"/>
          <w:color w:val="000000"/>
          <w:sz w:val="18"/>
          <w:szCs w:val="18"/>
        </w:rPr>
        <w:t>最新行使比例。</w:t>
      </w:r>
    </w:p>
    <w:p w14:paraId="57624A2D" w14:textId="77777777" w:rsidR="003C7D4F" w:rsidRPr="003C7D4F" w:rsidRDefault="003C7D4F" w:rsidP="003C7D4F">
      <w:pPr>
        <w:tabs>
          <w:tab w:val="left" w:pos="2340"/>
        </w:tabs>
        <w:spacing w:line="0" w:lineRule="atLeast"/>
        <w:ind w:left="120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(2)</w:t>
      </w:r>
      <w:r w:rsidRPr="003C7D4F">
        <w:rPr>
          <w:rFonts w:ascii="Arial" w:eastAsia="標楷體" w:hAnsi="Arial" w:hint="eastAsia"/>
          <w:color w:val="000000"/>
          <w:sz w:val="18"/>
          <w:szCs w:val="18"/>
        </w:rPr>
        <w:t>若標的證券終止上櫃不符合（</w:t>
      </w:r>
      <w:r w:rsidRPr="003C7D4F">
        <w:rPr>
          <w:rFonts w:ascii="Arial" w:eastAsia="標楷體" w:hAnsi="Arial" w:hint="eastAsia"/>
          <w:color w:val="000000"/>
          <w:sz w:val="18"/>
          <w:szCs w:val="18"/>
        </w:rPr>
        <w:t>1</w:t>
      </w:r>
      <w:r w:rsidRPr="003C7D4F">
        <w:rPr>
          <w:rFonts w:ascii="Arial" w:eastAsia="標楷體" w:hAnsi="Arial" w:hint="eastAsia"/>
          <w:color w:val="000000"/>
          <w:sz w:val="18"/>
          <w:szCs w:val="18"/>
        </w:rPr>
        <w:t>）所述，則計算公式採</w:t>
      </w:r>
      <w:r w:rsidRPr="003C7D4F">
        <w:rPr>
          <w:rFonts w:ascii="Arial" w:eastAsia="標楷體" w:hAnsi="Arial" w:hint="eastAsia"/>
          <w:color w:val="000000"/>
          <w:sz w:val="18"/>
          <w:szCs w:val="18"/>
        </w:rPr>
        <w:t>Black &amp; Scholes</w:t>
      </w:r>
      <w:r w:rsidRPr="003C7D4F">
        <w:rPr>
          <w:rFonts w:ascii="Arial" w:eastAsia="標楷體" w:hAnsi="Arial" w:hint="eastAsia"/>
          <w:color w:val="000000"/>
          <w:sz w:val="18"/>
          <w:szCs w:val="18"/>
        </w:rPr>
        <w:t>公式。</w:t>
      </w:r>
    </w:p>
    <w:p w14:paraId="70C47367" w14:textId="77777777"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(3)Black &amp; Scholes</w:t>
      </w:r>
      <w:r w:rsidRPr="003C7D4F">
        <w:rPr>
          <w:rFonts w:ascii="Arial" w:eastAsia="標楷體" w:hAnsi="Arial" w:hint="eastAsia"/>
          <w:color w:val="000000"/>
          <w:sz w:val="18"/>
          <w:szCs w:val="18"/>
        </w:rPr>
        <w:t>公式之參數採用方式：</w:t>
      </w:r>
    </w:p>
    <w:p w14:paraId="3B8C30DA" w14:textId="77777777" w:rsidR="00650180"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a.</w:t>
      </w:r>
      <w:r w:rsidRPr="003C7D4F">
        <w:rPr>
          <w:rFonts w:ascii="Arial" w:eastAsia="標楷體" w:hAnsi="Arial" w:hint="eastAsia"/>
          <w:color w:val="000000"/>
          <w:sz w:val="18"/>
          <w:szCs w:val="18"/>
        </w:rPr>
        <w:t>標的證券價格：</w:t>
      </w:r>
      <w:r w:rsidR="00650180" w:rsidRPr="00650180">
        <w:rPr>
          <w:rFonts w:ascii="Arial" w:eastAsia="標楷體" w:hAnsi="Arial" w:hint="eastAsia"/>
          <w:color w:val="000000"/>
          <w:sz w:val="18"/>
          <w:szCs w:val="18"/>
        </w:rPr>
        <w:t>對價條件為百分之百現金者，以其公告之調整後現金對價作為標的證券價格；其他狀況則採用標的證券最後交</w:t>
      </w:r>
    </w:p>
    <w:p w14:paraId="0C3AED8C" w14:textId="77777777" w:rsidR="003C7D4F" w:rsidRPr="003C7D4F" w:rsidRDefault="00650180" w:rsidP="00650180">
      <w:pPr>
        <w:tabs>
          <w:tab w:val="left" w:pos="2340"/>
        </w:tabs>
        <w:spacing w:line="0" w:lineRule="atLeast"/>
        <w:ind w:left="840" w:firstLineChars="250" w:firstLine="450"/>
        <w:jc w:val="both"/>
        <w:textAlignment w:val="auto"/>
        <w:rPr>
          <w:rFonts w:ascii="Arial" w:eastAsia="標楷體" w:hAnsi="Arial"/>
          <w:color w:val="000000"/>
          <w:sz w:val="18"/>
          <w:szCs w:val="18"/>
        </w:rPr>
      </w:pPr>
      <w:r w:rsidRPr="00650180">
        <w:rPr>
          <w:rFonts w:ascii="Arial" w:eastAsia="標楷體" w:hAnsi="Arial" w:hint="eastAsia"/>
          <w:color w:val="000000"/>
          <w:sz w:val="18"/>
          <w:szCs w:val="18"/>
        </w:rPr>
        <w:t>易日收盤前六十分鐘內成交價格之簡單算術平均價。</w:t>
      </w:r>
    </w:p>
    <w:p w14:paraId="4BB7B8E0" w14:textId="77777777"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b.</w:t>
      </w:r>
      <w:r w:rsidRPr="003C7D4F">
        <w:rPr>
          <w:rFonts w:ascii="Arial" w:eastAsia="標楷體" w:hAnsi="Arial" w:hint="eastAsia"/>
          <w:color w:val="000000"/>
          <w:sz w:val="18"/>
          <w:szCs w:val="18"/>
        </w:rPr>
        <w:t>履約價格：採用最新之權證履約價格。</w:t>
      </w:r>
    </w:p>
    <w:p w14:paraId="623C38DF" w14:textId="77777777"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c.</w:t>
      </w:r>
      <w:r w:rsidRPr="003C7D4F">
        <w:rPr>
          <w:rFonts w:ascii="Arial" w:eastAsia="標楷體" w:hAnsi="Arial" w:hint="eastAsia"/>
          <w:color w:val="000000"/>
          <w:sz w:val="18"/>
          <w:szCs w:val="18"/>
        </w:rPr>
        <w:t>執行比例：採用最新之權證執行比例。</w:t>
      </w:r>
    </w:p>
    <w:p w14:paraId="3B5EB880" w14:textId="77777777"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d.</w:t>
      </w:r>
      <w:r w:rsidRPr="003C7D4F">
        <w:rPr>
          <w:rFonts w:ascii="Arial" w:eastAsia="標楷體" w:hAnsi="Arial" w:hint="eastAsia"/>
          <w:color w:val="000000"/>
          <w:sz w:val="18"/>
          <w:szCs w:val="18"/>
        </w:rPr>
        <w:t>存續期間：依原發行計畫之到期日計算。</w:t>
      </w:r>
    </w:p>
    <w:p w14:paraId="3BD8D926" w14:textId="77777777"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e.</w:t>
      </w:r>
      <w:r w:rsidRPr="003C7D4F">
        <w:rPr>
          <w:rFonts w:ascii="Arial" w:eastAsia="標楷體" w:hAnsi="Arial" w:hint="eastAsia"/>
          <w:color w:val="000000"/>
          <w:sz w:val="18"/>
          <w:szCs w:val="18"/>
        </w:rPr>
        <w:t>利率：依原發行計畫之利率條件。</w:t>
      </w:r>
    </w:p>
    <w:p w14:paraId="090F47B2" w14:textId="77777777" w:rsidR="003C7D4F" w:rsidRPr="003C7D4F" w:rsidRDefault="003C7D4F" w:rsidP="003C7D4F">
      <w:pPr>
        <w:tabs>
          <w:tab w:val="left" w:pos="2340"/>
        </w:tabs>
        <w:spacing w:line="0" w:lineRule="atLeast"/>
        <w:ind w:left="840" w:firstLineChars="200" w:firstLine="36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f.</w:t>
      </w:r>
      <w:r w:rsidRPr="003C7D4F">
        <w:rPr>
          <w:rFonts w:ascii="Arial" w:eastAsia="標楷體" w:hAnsi="Arial" w:hint="eastAsia"/>
          <w:color w:val="000000"/>
          <w:sz w:val="18"/>
          <w:szCs w:val="18"/>
        </w:rPr>
        <w:t>現金股利：</w:t>
      </w:r>
      <w:r w:rsidRPr="003C7D4F">
        <w:rPr>
          <w:rFonts w:ascii="Arial" w:eastAsia="標楷體" w:hAnsi="Arial" w:hint="eastAsia"/>
          <w:color w:val="000000"/>
          <w:sz w:val="18"/>
          <w:szCs w:val="18"/>
        </w:rPr>
        <w:t>0</w:t>
      </w:r>
      <w:r w:rsidRPr="003C7D4F">
        <w:rPr>
          <w:rFonts w:ascii="Arial" w:eastAsia="標楷體" w:hAnsi="Arial" w:hint="eastAsia"/>
          <w:color w:val="000000"/>
          <w:sz w:val="18"/>
          <w:szCs w:val="18"/>
        </w:rPr>
        <w:t>。</w:t>
      </w:r>
    </w:p>
    <w:p w14:paraId="2A3E36AE" w14:textId="77777777" w:rsidR="003C7D4F" w:rsidRPr="003C7D4F" w:rsidRDefault="003C7D4F" w:rsidP="003C7D4F">
      <w:pPr>
        <w:tabs>
          <w:tab w:val="left" w:pos="2340"/>
        </w:tabs>
        <w:spacing w:line="0" w:lineRule="atLeast"/>
        <w:ind w:leftChars="500" w:left="120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g.</w:t>
      </w:r>
      <w:r w:rsidRPr="003C7D4F">
        <w:rPr>
          <w:rFonts w:ascii="Arial" w:eastAsia="標楷體" w:hAnsi="Arial" w:hint="eastAsia"/>
          <w:color w:val="000000"/>
          <w:sz w:val="18"/>
          <w:szCs w:val="18"/>
        </w:rPr>
        <w:t>股價波動率：</w:t>
      </w:r>
      <w:r w:rsidR="00AF2F61" w:rsidRPr="00AF2F61">
        <w:rPr>
          <w:rFonts w:ascii="Arial" w:eastAsia="標楷體" w:hAnsi="Arial" w:hint="eastAsia"/>
          <w:color w:val="000000"/>
          <w:sz w:val="18"/>
          <w:szCs w:val="18"/>
        </w:rPr>
        <w:t>該權證之造市波動度。（即權證最後交易日，流動量提供者委託買單造市波動度）</w:t>
      </w:r>
      <w:r w:rsidR="00AF2F61" w:rsidRPr="003C7D4F">
        <w:rPr>
          <w:rFonts w:ascii="Arial" w:eastAsia="標楷體" w:hAnsi="Arial"/>
          <w:color w:val="000000"/>
          <w:sz w:val="18"/>
          <w:szCs w:val="18"/>
        </w:rPr>
        <w:t xml:space="preserve"> </w:t>
      </w:r>
    </w:p>
    <w:p w14:paraId="2FC481D6" w14:textId="77777777" w:rsidR="003C7D4F" w:rsidRPr="003C7D4F" w:rsidRDefault="003C7D4F" w:rsidP="003C7D4F">
      <w:pPr>
        <w:tabs>
          <w:tab w:val="left" w:pos="2340"/>
        </w:tabs>
        <w:spacing w:line="0" w:lineRule="atLeast"/>
        <w:ind w:left="1200"/>
        <w:jc w:val="both"/>
        <w:textAlignment w:val="auto"/>
        <w:rPr>
          <w:rFonts w:ascii="Arial" w:eastAsia="標楷體" w:hAnsi="Arial"/>
          <w:color w:val="000000"/>
          <w:sz w:val="18"/>
          <w:szCs w:val="18"/>
        </w:rPr>
      </w:pPr>
      <w:r w:rsidRPr="003C7D4F">
        <w:rPr>
          <w:rFonts w:ascii="Arial" w:eastAsia="標楷體" w:hAnsi="Arial" w:hint="eastAsia"/>
          <w:color w:val="000000"/>
          <w:sz w:val="18"/>
          <w:szCs w:val="18"/>
        </w:rPr>
        <w:t>h.</w:t>
      </w:r>
      <w:r w:rsidRPr="003C7D4F">
        <w:rPr>
          <w:rFonts w:ascii="Arial" w:eastAsia="標楷體" w:hAnsi="Arial" w:hint="eastAsia"/>
          <w:color w:val="000000"/>
          <w:sz w:val="18"/>
          <w:szCs w:val="18"/>
        </w:rPr>
        <w:t>以上結算價格之計算，以百分位為最小單位，並以千分位四捨五入計算。</w:t>
      </w:r>
    </w:p>
    <w:p w14:paraId="20B5B34E" w14:textId="77777777" w:rsidR="00371164" w:rsidRDefault="00B25572" w:rsidP="00CA2C17">
      <w:pPr>
        <w:snapToGrid w:val="0"/>
        <w:spacing w:line="200" w:lineRule="exact"/>
        <w:ind w:leftChars="303" w:left="1267"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r w:rsidRPr="006675C9">
        <w:rPr>
          <w:rFonts w:ascii="Arial" w:eastAsia="標楷體" w:hAnsi="標楷體" w:cs="Arial" w:hint="eastAsia"/>
          <w:color w:val="000000" w:themeColor="text1"/>
          <w:sz w:val="18"/>
          <w:szCs w:val="18"/>
        </w:rPr>
        <w:t>若標的公司於權證上櫃交易期間依法進行公司分割</w:t>
      </w:r>
      <w:r w:rsidR="00371164" w:rsidRPr="00371164">
        <w:rPr>
          <w:rFonts w:ascii="Arial" w:eastAsia="標楷體" w:hAnsi="標楷體" w:cs="Arial" w:hint="eastAsia"/>
          <w:color w:val="000000" w:themeColor="text1"/>
          <w:sz w:val="18"/>
          <w:szCs w:val="18"/>
        </w:rPr>
        <w:t>(</w:t>
      </w:r>
      <w:r w:rsidR="00371164" w:rsidRPr="00371164">
        <w:rPr>
          <w:rFonts w:ascii="Arial" w:eastAsia="標楷體" w:hAnsi="標楷體" w:cs="Arial" w:hint="eastAsia"/>
          <w:color w:val="000000" w:themeColor="text1"/>
          <w:sz w:val="18"/>
          <w:szCs w:val="18"/>
        </w:rPr>
        <w:t>指數股票型基金</w:t>
      </w:r>
      <w:r w:rsidR="00371164" w:rsidRPr="00371164">
        <w:rPr>
          <w:rFonts w:ascii="Arial" w:eastAsia="標楷體" w:hAnsi="標楷體" w:cs="Arial" w:hint="eastAsia"/>
          <w:color w:val="000000" w:themeColor="text1"/>
          <w:sz w:val="18"/>
          <w:szCs w:val="18"/>
        </w:rPr>
        <w:t>(ETF)</w:t>
      </w:r>
      <w:r w:rsidR="00371164" w:rsidRPr="00371164">
        <w:rPr>
          <w:rFonts w:ascii="Arial" w:eastAsia="標楷體" w:hAnsi="標楷體" w:cs="Arial" w:hint="eastAsia"/>
          <w:color w:val="000000" w:themeColor="text1"/>
          <w:sz w:val="18"/>
          <w:szCs w:val="18"/>
        </w:rPr>
        <w:t>除外</w:t>
      </w:r>
      <w:r w:rsidR="00371164" w:rsidRPr="00371164">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以致標的公司之股本產生變化，則不論分割後之存續</w:t>
      </w:r>
    </w:p>
    <w:p w14:paraId="75AC7287" w14:textId="77777777" w:rsidR="00371164" w:rsidRDefault="00B25572" w:rsidP="00371164">
      <w:pPr>
        <w:snapToGrid w:val="0"/>
        <w:spacing w:line="200" w:lineRule="exact"/>
        <w:ind w:leftChars="303" w:left="1267"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公司或新設公司是否仍為上櫃公司，本權證於標的證券停止交易之前一營業日視為提前到期日。本權證之提前到期日為標的證券之最</w:t>
      </w:r>
    </w:p>
    <w:p w14:paraId="73B291E9" w14:textId="77777777" w:rsidR="00371164" w:rsidRDefault="00B25572" w:rsidP="00371164">
      <w:pPr>
        <w:snapToGrid w:val="0"/>
        <w:spacing w:line="200" w:lineRule="exact"/>
        <w:ind w:leftChars="303" w:left="1267"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後交易日，本權證之最後交易日為提前到期日前二個營業日，發行人將依本條（五）１</w:t>
      </w:r>
      <w:r w:rsidRPr="006675C9">
        <w:rPr>
          <w:rFonts w:ascii="Arial" w:eastAsia="標楷體" w:hAnsi="標楷體" w:cs="Arial" w:hint="eastAsia"/>
          <w:color w:val="000000" w:themeColor="text1"/>
          <w:sz w:val="18"/>
          <w:szCs w:val="18"/>
        </w:rPr>
        <w:t>.(1)(2)</w:t>
      </w:r>
      <w:r w:rsidRPr="006675C9">
        <w:rPr>
          <w:rFonts w:ascii="Arial" w:eastAsia="標楷體" w:hAnsi="標楷體" w:cs="Arial" w:hint="eastAsia"/>
          <w:color w:val="000000" w:themeColor="text1"/>
          <w:sz w:val="18"/>
          <w:szCs w:val="18"/>
        </w:rPr>
        <w:t>目之結算辦法進行結算，於提前到期日後</w:t>
      </w:r>
    </w:p>
    <w:p w14:paraId="24949500" w14:textId="77777777" w:rsidR="00B25572" w:rsidRPr="006675C9" w:rsidRDefault="00B25572" w:rsidP="00371164">
      <w:pPr>
        <w:snapToGrid w:val="0"/>
        <w:spacing w:line="200" w:lineRule="exact"/>
        <w:ind w:leftChars="303" w:left="1267"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三十日內，採現金結算方式結算予持有人。</w:t>
      </w:r>
    </w:p>
    <w:p w14:paraId="7324F67E" w14:textId="77777777"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六</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惟股票終止上櫃情事若係標的證券公司轉上市時，其權證得在本中心繼續買賣至到期日止。</w:t>
      </w:r>
    </w:p>
    <w:p w14:paraId="6C112347" w14:textId="77777777" w:rsidR="00B25572" w:rsidRPr="006675C9"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七</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前述事項發生時，發行人將依櫃買中心規定辦理公告。</w:t>
      </w:r>
    </w:p>
    <w:p w14:paraId="68833D06" w14:textId="77777777" w:rsidR="00507020" w:rsidRDefault="00B25572" w:rsidP="006675C9">
      <w:pPr>
        <w:snapToGrid w:val="0"/>
        <w:spacing w:line="200" w:lineRule="exact"/>
        <w:ind w:leftChars="103" w:left="96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八</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如經主管機關及櫃買中心核定本權證標的證券公司合併、收購及股份轉換、變更交易方式、停止買賣或終止上櫃及分割者，依本權證發</w:t>
      </w:r>
    </w:p>
    <w:p w14:paraId="0DC8EE1E" w14:textId="77777777" w:rsidR="00B25572" w:rsidRPr="006675C9" w:rsidRDefault="00B25572" w:rsidP="00507020">
      <w:pPr>
        <w:snapToGrid w:val="0"/>
        <w:spacing w:line="200" w:lineRule="exact"/>
        <w:ind w:leftChars="215" w:left="966" w:hangingChars="250" w:hanging="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行計畫公司合併、收購及股份轉換、變更交易方式、停止買賣或終止上櫃及分割之規定辦理。</w:t>
      </w:r>
    </w:p>
    <w:p w14:paraId="7063ADB1"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p>
    <w:p w14:paraId="3B0B535E" w14:textId="77777777" w:rsidR="00B25572" w:rsidRPr="006675C9" w:rsidRDefault="00BE3B6A" w:rsidP="006675C9">
      <w:pPr>
        <w:numPr>
          <w:ilvl w:val="0"/>
          <w:numId w:val="3"/>
        </w:numPr>
        <w:tabs>
          <w:tab w:val="clear" w:pos="482"/>
          <w:tab w:val="num" w:pos="360"/>
        </w:tabs>
        <w:snapToGrid w:val="0"/>
        <w:spacing w:line="200" w:lineRule="exact"/>
        <w:ind w:left="0" w:firstLine="0"/>
        <w:rPr>
          <w:rFonts w:ascii="Arial" w:eastAsia="標楷體" w:hAnsi="標楷體" w:cs="Arial"/>
          <w:b/>
          <w:color w:val="000000" w:themeColor="text1"/>
          <w:sz w:val="18"/>
          <w:szCs w:val="18"/>
        </w:rPr>
      </w:pPr>
      <w:r>
        <w:rPr>
          <w:rFonts w:ascii="Arial" w:eastAsia="標楷體" w:hAnsi="標楷體" w:cs="Arial" w:hint="eastAsia"/>
          <w:b/>
          <w:color w:val="000000" w:themeColor="text1"/>
          <w:sz w:val="18"/>
          <w:szCs w:val="18"/>
        </w:rPr>
        <w:t>認購</w:t>
      </w:r>
      <w:r w:rsidR="00B25572" w:rsidRPr="006675C9">
        <w:rPr>
          <w:rFonts w:ascii="Arial" w:eastAsia="標楷體" w:hAnsi="標楷體" w:cs="Arial" w:hint="eastAsia"/>
          <w:b/>
          <w:color w:val="000000" w:themeColor="text1"/>
          <w:sz w:val="18"/>
          <w:szCs w:val="18"/>
        </w:rPr>
        <w:t>權證之買賣及上櫃</w:t>
      </w:r>
    </w:p>
    <w:p w14:paraId="3C89FE90" w14:textId="77777777" w:rsidR="00B25572" w:rsidRPr="006675C9" w:rsidRDefault="00B25572" w:rsidP="006675C9">
      <w:pPr>
        <w:snapToGrid w:val="0"/>
        <w:spacing w:line="200" w:lineRule="exact"/>
        <w:ind w:firstLineChars="200" w:firstLine="36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一</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上櫃前之銷售：</w:t>
      </w:r>
    </w:p>
    <w:p w14:paraId="14F7A3BF" w14:textId="77777777" w:rsidR="00B25572" w:rsidRPr="006675C9" w:rsidRDefault="00B25572" w:rsidP="00507020">
      <w:pPr>
        <w:snapToGrid w:val="0"/>
        <w:spacing w:line="200" w:lineRule="exact"/>
        <w:ind w:firstLineChars="250" w:firstLine="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本權證上櫃前由發行人自行銷售。</w:t>
      </w:r>
    </w:p>
    <w:p w14:paraId="7B518A29" w14:textId="77777777" w:rsidR="00B25572" w:rsidRPr="006675C9" w:rsidRDefault="00B25572" w:rsidP="00507020">
      <w:pPr>
        <w:snapToGrid w:val="0"/>
        <w:spacing w:line="200" w:lineRule="exact"/>
        <w:ind w:firstLineChars="250" w:firstLine="45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r w:rsidRPr="006675C9">
        <w:rPr>
          <w:rFonts w:ascii="Arial" w:eastAsia="標楷體" w:hAnsi="標楷體" w:cs="Arial" w:hint="eastAsia"/>
          <w:color w:val="000000" w:themeColor="text1"/>
          <w:sz w:val="18"/>
          <w:szCs w:val="18"/>
        </w:rPr>
        <w:t>申購人資格：</w:t>
      </w:r>
    </w:p>
    <w:p w14:paraId="022E3472" w14:textId="77777777" w:rsidR="00B25572" w:rsidRPr="006675C9" w:rsidRDefault="00B25572" w:rsidP="00507020">
      <w:pPr>
        <w:snapToGrid w:val="0"/>
        <w:spacing w:line="200" w:lineRule="exact"/>
        <w:ind w:firstLineChars="450" w:firstLine="81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申購人必須為依法得購買本權證之人，申購人如為自然人而未滿二十歲者，應得其法定代理人之書面同意。</w:t>
      </w:r>
    </w:p>
    <w:p w14:paraId="419E9C1B" w14:textId="77777777" w:rsidR="00B25572" w:rsidRPr="006675C9" w:rsidRDefault="00B25572" w:rsidP="00507020">
      <w:pPr>
        <w:snapToGrid w:val="0"/>
        <w:spacing w:line="200" w:lineRule="exact"/>
        <w:ind w:firstLineChars="450" w:firstLine="81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r w:rsidRPr="006675C9">
        <w:rPr>
          <w:rFonts w:ascii="Arial" w:eastAsia="標楷體" w:hAnsi="標楷體" w:cs="Arial" w:hint="eastAsia"/>
          <w:color w:val="000000" w:themeColor="text1"/>
          <w:sz w:val="18"/>
          <w:szCs w:val="18"/>
        </w:rPr>
        <w:t>申購人必須先在證券商開立集保劃撥帳戶。</w:t>
      </w:r>
    </w:p>
    <w:p w14:paraId="7CD79578" w14:textId="77777777" w:rsidR="00B25572" w:rsidRPr="006675C9" w:rsidRDefault="00B25572" w:rsidP="00507020">
      <w:pPr>
        <w:snapToGrid w:val="0"/>
        <w:spacing w:line="200" w:lineRule="exact"/>
        <w:ind w:firstLineChars="450" w:firstLine="81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(3)</w:t>
      </w:r>
      <w:r w:rsidRPr="006675C9">
        <w:rPr>
          <w:rFonts w:ascii="Arial" w:eastAsia="標楷體" w:hAnsi="標楷體" w:cs="Arial" w:hint="eastAsia"/>
          <w:color w:val="000000" w:themeColor="text1"/>
          <w:sz w:val="18"/>
          <w:szCs w:val="18"/>
        </w:rPr>
        <w:t>華僑、外國人及外資機構可購買本權證。</w:t>
      </w:r>
    </w:p>
    <w:p w14:paraId="758E0F62"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3.</w:t>
      </w:r>
      <w:r w:rsidRPr="006675C9">
        <w:rPr>
          <w:rFonts w:ascii="Arial" w:eastAsia="標楷體" w:hAnsi="標楷體" w:cs="Arial" w:hint="eastAsia"/>
          <w:color w:val="000000" w:themeColor="text1"/>
          <w:sz w:val="18"/>
          <w:szCs w:val="18"/>
        </w:rPr>
        <w:t>申購期間：</w:t>
      </w:r>
    </w:p>
    <w:p w14:paraId="65F106EE" w14:textId="77777777" w:rsidR="00B25572" w:rsidRPr="006675C9" w:rsidRDefault="00B25572" w:rsidP="00507020">
      <w:pPr>
        <w:snapToGrid w:val="0"/>
        <w:spacing w:line="200" w:lineRule="exact"/>
        <w:ind w:leftChars="277" w:left="1205"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自櫃買中心同意發行日起至銷售完畢止（本銷售期間不得超過十日）。</w:t>
      </w:r>
    </w:p>
    <w:p w14:paraId="6AA3BAB1"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4.</w:t>
      </w:r>
      <w:r w:rsidRPr="006675C9">
        <w:rPr>
          <w:rFonts w:ascii="Arial" w:eastAsia="標楷體" w:hAnsi="標楷體" w:cs="Arial" w:hint="eastAsia"/>
          <w:color w:val="000000" w:themeColor="text1"/>
          <w:sz w:val="18"/>
          <w:szCs w:val="18"/>
        </w:rPr>
        <w:t>申購數量：</w:t>
      </w:r>
    </w:p>
    <w:p w14:paraId="263DF729" w14:textId="77777777" w:rsidR="00B25572" w:rsidRPr="006675C9" w:rsidRDefault="00B25572" w:rsidP="006675C9">
      <w:pPr>
        <w:snapToGrid w:val="0"/>
        <w:spacing w:line="200" w:lineRule="exact"/>
        <w:ind w:leftChars="261" w:left="1166"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申購數量應為一千單位或其整倍數，最低購買數量為一千單位；單一購買人所申購數量不得超過發行單位總數之百分之十。</w:t>
      </w:r>
    </w:p>
    <w:p w14:paraId="323FB816"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5.</w:t>
      </w:r>
      <w:r w:rsidRPr="006675C9">
        <w:rPr>
          <w:rFonts w:ascii="Arial" w:eastAsia="標楷體" w:hAnsi="標楷體" w:cs="Arial" w:hint="eastAsia"/>
          <w:color w:val="000000" w:themeColor="text1"/>
          <w:sz w:val="18"/>
          <w:szCs w:val="18"/>
        </w:rPr>
        <w:t>申購方式：</w:t>
      </w:r>
    </w:p>
    <w:p w14:paraId="5185F5D0" w14:textId="77777777" w:rsidR="00507020" w:rsidRDefault="00B25572" w:rsidP="006675C9">
      <w:pPr>
        <w:snapToGrid w:val="0"/>
        <w:spacing w:line="200" w:lineRule="exact"/>
        <w:ind w:leftChars="261" w:left="1166"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申購人於申購時應依發行人規定之時間及繳款方式繳付價金，並填報申購書、載明申購單位數、集保帳號、往來銀行、銀行帳號及個人</w:t>
      </w:r>
    </w:p>
    <w:p w14:paraId="1B3413E4" w14:textId="77777777" w:rsidR="00B25572" w:rsidRPr="006675C9" w:rsidRDefault="00B25572" w:rsidP="00507020">
      <w:pPr>
        <w:snapToGrid w:val="0"/>
        <w:spacing w:line="200" w:lineRule="exact"/>
        <w:ind w:leftChars="261" w:left="1166" w:hangingChars="300" w:hanging="54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基本資料等，並填寫風險預告書。</w:t>
      </w:r>
    </w:p>
    <w:p w14:paraId="37EBD7D0"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6.</w:t>
      </w:r>
      <w:r w:rsidRPr="006675C9">
        <w:rPr>
          <w:rFonts w:ascii="Arial" w:eastAsia="標楷體" w:hAnsi="標楷體" w:cs="Arial" w:hint="eastAsia"/>
          <w:color w:val="000000" w:themeColor="text1"/>
          <w:sz w:val="18"/>
          <w:szCs w:val="18"/>
        </w:rPr>
        <w:t>申購人繳款後不得請求撤回其申購，亦不得請求將其權利轉讓給第三人。</w:t>
      </w:r>
    </w:p>
    <w:p w14:paraId="6DC31310"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7.</w:t>
      </w:r>
      <w:r w:rsidRPr="006675C9">
        <w:rPr>
          <w:rFonts w:ascii="Arial" w:eastAsia="標楷體" w:hAnsi="標楷體" w:cs="Arial" w:hint="eastAsia"/>
          <w:color w:val="000000" w:themeColor="text1"/>
          <w:sz w:val="18"/>
          <w:szCs w:val="18"/>
        </w:rPr>
        <w:t>本權證上櫃買賣前由發行人洽臺灣集中保管結算所將權證撥入認購人所指定之集保帳戶。</w:t>
      </w:r>
    </w:p>
    <w:p w14:paraId="6FBF381B"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8.</w:t>
      </w:r>
      <w:r w:rsidRPr="006675C9">
        <w:rPr>
          <w:rFonts w:ascii="Arial" w:eastAsia="標楷體" w:hAnsi="標楷體" w:cs="Arial" w:hint="eastAsia"/>
          <w:color w:val="000000" w:themeColor="text1"/>
          <w:sz w:val="18"/>
          <w:szCs w:val="18"/>
        </w:rPr>
        <w:t>本權證上櫃前，權證及其權益均不得轉讓。</w:t>
      </w:r>
    </w:p>
    <w:p w14:paraId="15D86836"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p>
    <w:p w14:paraId="2A229199" w14:textId="77777777" w:rsidR="00B25572" w:rsidRPr="006675C9" w:rsidRDefault="00B25572" w:rsidP="006675C9">
      <w:pPr>
        <w:snapToGrid w:val="0"/>
        <w:spacing w:line="200" w:lineRule="exact"/>
        <w:ind w:firstLineChars="200" w:firstLine="36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二</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上櫃：</w:t>
      </w:r>
    </w:p>
    <w:p w14:paraId="0B3853FB"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本權證自發行日，俟上櫃契約經財團法人中華民國證券櫃檯買賣中心審查同意後，由發行人向櫃買中心洽定掛牌上櫃日期。</w:t>
      </w:r>
    </w:p>
    <w:p w14:paraId="0AFA7CE8"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p>
    <w:p w14:paraId="46969703" w14:textId="77777777" w:rsidR="00B25572" w:rsidRPr="006675C9" w:rsidRDefault="00B25572" w:rsidP="006675C9">
      <w:pPr>
        <w:snapToGrid w:val="0"/>
        <w:spacing w:line="200" w:lineRule="exact"/>
        <w:ind w:firstLineChars="200" w:firstLine="36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三</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上櫃後之買賣：</w:t>
      </w:r>
    </w:p>
    <w:p w14:paraId="1A2C39EA"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本權證於上櫃後應在交易市場為交易，其交易方式及程序均依櫃買中心之規定。</w:t>
      </w:r>
    </w:p>
    <w:p w14:paraId="2DB68819"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r w:rsidRPr="006675C9">
        <w:rPr>
          <w:rFonts w:ascii="Arial" w:eastAsia="標楷體" w:hAnsi="標楷體" w:cs="Arial" w:hint="eastAsia"/>
          <w:color w:val="000000" w:themeColor="text1"/>
          <w:sz w:val="18"/>
          <w:szCs w:val="18"/>
        </w:rPr>
        <w:t>買賣本權證應依法繳交證券交易稅捐，並依櫃買中心規定繳付手續費。</w:t>
      </w:r>
    </w:p>
    <w:p w14:paraId="4E8FE280"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lastRenderedPageBreak/>
        <w:t>3.</w:t>
      </w:r>
      <w:r w:rsidRPr="006675C9">
        <w:rPr>
          <w:rFonts w:ascii="Arial" w:eastAsia="標楷體" w:hAnsi="標楷體" w:cs="Arial" w:hint="eastAsia"/>
          <w:color w:val="000000" w:themeColor="text1"/>
          <w:sz w:val="18"/>
          <w:szCs w:val="18"/>
        </w:rPr>
        <w:t>本權證最後交易日為權證到期日前二個營業日。</w:t>
      </w:r>
    </w:p>
    <w:p w14:paraId="00F123EB"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4.</w:t>
      </w:r>
      <w:r w:rsidRPr="006675C9">
        <w:rPr>
          <w:rFonts w:ascii="Arial" w:eastAsia="標楷體" w:hAnsi="標楷體" w:cs="Arial" w:hint="eastAsia"/>
          <w:color w:val="000000" w:themeColor="text1"/>
          <w:sz w:val="18"/>
          <w:szCs w:val="18"/>
        </w:rPr>
        <w:t>變更交易方式</w:t>
      </w:r>
    </w:p>
    <w:p w14:paraId="3DFB9290" w14:textId="77777777" w:rsidR="00507020" w:rsidRDefault="00B25572" w:rsidP="006675C9">
      <w:pPr>
        <w:snapToGrid w:val="0"/>
        <w:spacing w:line="200" w:lineRule="exact"/>
        <w:ind w:leftChars="253" w:left="123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本權證經主管機關及櫃買中心核定變更交易方式者，除依核定之交易方式為交易外，本權證之發行條件不予變更。但發行人認為有必要</w:t>
      </w:r>
    </w:p>
    <w:p w14:paraId="77326DE2" w14:textId="77777777" w:rsidR="00B25572" w:rsidRPr="006675C9" w:rsidRDefault="00B25572" w:rsidP="00507020">
      <w:pPr>
        <w:snapToGrid w:val="0"/>
        <w:spacing w:line="200" w:lineRule="exact"/>
        <w:ind w:leftChars="253" w:left="123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時，得報經櫃買中心同意後，變更發行條件或為其他適當之處理。</w:t>
      </w:r>
    </w:p>
    <w:p w14:paraId="64AE7F05"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5.</w:t>
      </w:r>
      <w:r w:rsidRPr="006675C9">
        <w:rPr>
          <w:rFonts w:ascii="Arial" w:eastAsia="標楷體" w:hAnsi="標楷體" w:cs="Arial" w:hint="eastAsia"/>
          <w:color w:val="000000" w:themeColor="text1"/>
          <w:sz w:val="18"/>
          <w:szCs w:val="18"/>
        </w:rPr>
        <w:t>停止買賣</w:t>
      </w:r>
    </w:p>
    <w:p w14:paraId="154BCFD7" w14:textId="77777777" w:rsidR="00B25572" w:rsidRPr="006675C9"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本權證經主管機關及櫃買中心核定停止買賣者，依下列規定辦理：</w:t>
      </w:r>
    </w:p>
    <w:p w14:paraId="18712999" w14:textId="77777777" w:rsidR="00B25572" w:rsidRPr="006675C9" w:rsidRDefault="00B25572" w:rsidP="006675C9">
      <w:pPr>
        <w:snapToGrid w:val="0"/>
        <w:spacing w:line="200" w:lineRule="exact"/>
        <w:ind w:leftChars="353" w:left="147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因標的證券發生變更交易方式、停止買賣、終止上櫃及分割或公司合併、收購及股份轉換所致者：</w:t>
      </w:r>
    </w:p>
    <w:p w14:paraId="485598CA" w14:textId="77777777" w:rsidR="00B25572" w:rsidRPr="006675C9" w:rsidRDefault="00B25572" w:rsidP="006675C9">
      <w:pPr>
        <w:snapToGrid w:val="0"/>
        <w:spacing w:line="200" w:lineRule="exact"/>
        <w:ind w:leftChars="353" w:left="147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依本發行計畫第十一條第</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一</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二</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三</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款及第</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五</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款規定辦理。</w:t>
      </w:r>
    </w:p>
    <w:p w14:paraId="16D35ECB" w14:textId="77777777" w:rsidR="00B25572" w:rsidRPr="006675C9"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(2)</w:t>
      </w:r>
      <w:r w:rsidRPr="006675C9">
        <w:rPr>
          <w:rFonts w:ascii="Arial" w:eastAsia="標楷體" w:hAnsi="標楷體" w:cs="Arial" w:hint="eastAsia"/>
          <w:color w:val="000000" w:themeColor="text1"/>
          <w:sz w:val="18"/>
          <w:szCs w:val="18"/>
        </w:rPr>
        <w:t>因發行人之事由所致者：</w:t>
      </w:r>
    </w:p>
    <w:p w14:paraId="45E84A51" w14:textId="77777777" w:rsidR="00B25572" w:rsidRPr="006675C9" w:rsidRDefault="00B25572" w:rsidP="006675C9">
      <w:pPr>
        <w:snapToGrid w:val="0"/>
        <w:spacing w:line="200" w:lineRule="exact"/>
        <w:ind w:leftChars="353" w:left="147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持有人得於本權證停止買賣期間，向發行人提出履約請求，持有人請求履約時，依本發行計畫履約給付之規定辦理。</w:t>
      </w:r>
    </w:p>
    <w:p w14:paraId="7B77E495" w14:textId="77777777" w:rsidR="00B25572" w:rsidRPr="006675C9"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(3)</w:t>
      </w:r>
      <w:r w:rsidRPr="006675C9">
        <w:rPr>
          <w:rFonts w:ascii="Arial" w:eastAsia="標楷體" w:hAnsi="標楷體" w:cs="Arial" w:hint="eastAsia"/>
          <w:color w:val="000000" w:themeColor="text1"/>
          <w:sz w:val="18"/>
          <w:szCs w:val="18"/>
        </w:rPr>
        <w:t>前述停止買賣事項發生時，發行人將依櫃買中心規定辦理公告。</w:t>
      </w:r>
    </w:p>
    <w:p w14:paraId="41891C31"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6.</w:t>
      </w:r>
      <w:r w:rsidRPr="006675C9">
        <w:rPr>
          <w:rFonts w:ascii="Arial" w:eastAsia="標楷體" w:hAnsi="標楷體" w:cs="Arial" w:hint="eastAsia"/>
          <w:color w:val="000000" w:themeColor="text1"/>
          <w:sz w:val="18"/>
          <w:szCs w:val="18"/>
        </w:rPr>
        <w:t>暫停交易</w:t>
      </w:r>
    </w:p>
    <w:p w14:paraId="440B6B94" w14:textId="77777777" w:rsidR="00B25572" w:rsidRPr="006675C9" w:rsidRDefault="00B25572" w:rsidP="006675C9">
      <w:pPr>
        <w:snapToGrid w:val="0"/>
        <w:spacing w:line="200" w:lineRule="exact"/>
        <w:ind w:leftChars="253" w:left="123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本權證經主管機關及櫃買中心核定暫停交易者，依本發行計畫第十一條第</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四</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款規定辦理</w:t>
      </w:r>
    </w:p>
    <w:p w14:paraId="052AD633"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7.</w:t>
      </w:r>
      <w:r w:rsidRPr="006675C9">
        <w:rPr>
          <w:rFonts w:ascii="Arial" w:eastAsia="標楷體" w:hAnsi="標楷體" w:cs="Arial" w:hint="eastAsia"/>
          <w:color w:val="000000" w:themeColor="text1"/>
          <w:sz w:val="18"/>
          <w:szCs w:val="18"/>
        </w:rPr>
        <w:t>終止上櫃</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轉換為金融控股公司之情事除外</w:t>
      </w:r>
      <w:r w:rsidRPr="006675C9">
        <w:rPr>
          <w:rFonts w:ascii="Arial" w:eastAsia="標楷體" w:hAnsi="標楷體" w:cs="Arial" w:hint="eastAsia"/>
          <w:color w:val="000000" w:themeColor="text1"/>
          <w:sz w:val="18"/>
          <w:szCs w:val="18"/>
        </w:rPr>
        <w:t>)</w:t>
      </w:r>
      <w:r w:rsidRPr="006675C9">
        <w:rPr>
          <w:rFonts w:ascii="Arial" w:eastAsia="標楷體" w:hAnsi="標楷體" w:cs="Arial" w:hint="eastAsia"/>
          <w:color w:val="000000" w:themeColor="text1"/>
          <w:sz w:val="18"/>
          <w:szCs w:val="18"/>
        </w:rPr>
        <w:t>本權證經主管機關及櫃買中心核定終止上櫃者，依下列規定辦理：</w:t>
      </w:r>
    </w:p>
    <w:p w14:paraId="5768164D" w14:textId="77777777" w:rsidR="00B25572" w:rsidRPr="006675C9"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(1)</w:t>
      </w:r>
      <w:r w:rsidRPr="006675C9">
        <w:rPr>
          <w:rFonts w:ascii="Arial" w:eastAsia="標楷體" w:hAnsi="標楷體" w:cs="Arial" w:hint="eastAsia"/>
          <w:color w:val="000000" w:themeColor="text1"/>
          <w:sz w:val="18"/>
          <w:szCs w:val="18"/>
        </w:rPr>
        <w:t>因標的證券發生變更交易方式、停止買賣、終止上櫃及分割或公司合併、收購及股份轉換所致者：</w:t>
      </w:r>
    </w:p>
    <w:p w14:paraId="4F2C7584" w14:textId="77777777" w:rsidR="00B25572" w:rsidRPr="003C7D4F"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3C7D4F">
        <w:rPr>
          <w:rFonts w:ascii="Arial" w:eastAsia="標楷體" w:hAnsi="標楷體" w:cs="Arial" w:hint="eastAsia"/>
          <w:color w:val="000000" w:themeColor="text1"/>
          <w:sz w:val="18"/>
          <w:szCs w:val="18"/>
        </w:rPr>
        <w:t>依本發行計畫第十一條第</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一</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二</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三</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款及第</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五</w:t>
      </w:r>
      <w:r w:rsidRPr="003C7D4F">
        <w:rPr>
          <w:rFonts w:ascii="Arial" w:eastAsia="標楷體" w:hAnsi="標楷體" w:cs="Arial" w:hint="eastAsia"/>
          <w:color w:val="000000" w:themeColor="text1"/>
          <w:sz w:val="18"/>
          <w:szCs w:val="18"/>
        </w:rPr>
        <w:t>)</w:t>
      </w:r>
      <w:r w:rsidRPr="003C7D4F">
        <w:rPr>
          <w:rFonts w:ascii="Arial" w:eastAsia="標楷體" w:hAnsi="標楷體" w:cs="Arial" w:hint="eastAsia"/>
          <w:color w:val="000000" w:themeColor="text1"/>
          <w:sz w:val="18"/>
          <w:szCs w:val="18"/>
        </w:rPr>
        <w:t>款規定辦理。</w:t>
      </w:r>
    </w:p>
    <w:p w14:paraId="77A53838" w14:textId="77777777" w:rsidR="00B25572" w:rsidRPr="003C7D4F" w:rsidRDefault="00B25572" w:rsidP="006675C9">
      <w:pPr>
        <w:snapToGrid w:val="0"/>
        <w:spacing w:line="200" w:lineRule="exact"/>
        <w:ind w:leftChars="303" w:left="1447" w:hangingChars="400" w:hanging="720"/>
        <w:jc w:val="both"/>
        <w:rPr>
          <w:rFonts w:ascii="Arial" w:eastAsia="標楷體" w:hAnsi="標楷體" w:cs="Arial"/>
          <w:color w:val="000000" w:themeColor="text1"/>
          <w:sz w:val="18"/>
          <w:szCs w:val="18"/>
        </w:rPr>
      </w:pPr>
      <w:r w:rsidRPr="003C7D4F">
        <w:rPr>
          <w:rFonts w:ascii="Arial" w:eastAsia="標楷體" w:hAnsi="標楷體" w:cs="Arial" w:hint="eastAsia"/>
          <w:color w:val="000000" w:themeColor="text1"/>
          <w:sz w:val="18"/>
          <w:szCs w:val="18"/>
        </w:rPr>
        <w:t>(2)</w:t>
      </w:r>
      <w:r w:rsidRPr="003C7D4F">
        <w:rPr>
          <w:rFonts w:ascii="Arial" w:eastAsia="標楷體" w:hAnsi="標楷體" w:cs="Arial" w:hint="eastAsia"/>
          <w:color w:val="000000" w:themeColor="text1"/>
          <w:sz w:val="18"/>
          <w:szCs w:val="18"/>
        </w:rPr>
        <w:t>因發行人之事由所致者：</w:t>
      </w:r>
    </w:p>
    <w:p w14:paraId="186AB26F" w14:textId="77777777" w:rsidR="003C7D4F" w:rsidRPr="003C7D4F" w:rsidRDefault="003C7D4F" w:rsidP="003C7D4F">
      <w:pPr>
        <w:tabs>
          <w:tab w:val="left" w:pos="2340"/>
        </w:tabs>
        <w:snapToGrid w:val="0"/>
        <w:spacing w:line="0" w:lineRule="atLeast"/>
        <w:ind w:leftChars="300" w:left="720"/>
        <w:jc w:val="both"/>
        <w:rPr>
          <w:rFonts w:ascii="Arial" w:eastAsia="標楷體" w:hAnsi="Arial"/>
          <w:color w:val="000000" w:themeColor="text1"/>
          <w:sz w:val="18"/>
          <w:szCs w:val="18"/>
        </w:rPr>
      </w:pPr>
      <w:r w:rsidRPr="003C7D4F">
        <w:rPr>
          <w:rFonts w:ascii="Arial" w:eastAsia="標楷體" w:hAnsi="Arial" w:hint="eastAsia"/>
          <w:color w:val="000000" w:themeColor="text1"/>
          <w:sz w:val="18"/>
          <w:szCs w:val="18"/>
        </w:rPr>
        <w:t>發行人於權證視為到期日後</w:t>
      </w:r>
      <w:r w:rsidR="00F97E34">
        <w:rPr>
          <w:rFonts w:ascii="Arial" w:eastAsia="標楷體" w:hAnsi="Arial" w:hint="eastAsia"/>
          <w:color w:val="000000" w:themeColor="text1"/>
          <w:sz w:val="18"/>
          <w:szCs w:val="18"/>
        </w:rPr>
        <w:t>二</w:t>
      </w:r>
      <w:r w:rsidRPr="003C7D4F">
        <w:rPr>
          <w:rFonts w:ascii="Arial" w:eastAsia="標楷體" w:hAnsi="Arial" w:hint="eastAsia"/>
          <w:color w:val="000000" w:themeColor="text1"/>
          <w:sz w:val="18"/>
          <w:szCs w:val="18"/>
        </w:rPr>
        <w:t>十個營業日內，採現金結算方式結算予持有人。</w:t>
      </w:r>
    </w:p>
    <w:p w14:paraId="504C09FD" w14:textId="77777777" w:rsidR="003C7D4F" w:rsidRPr="003C7D4F" w:rsidRDefault="003C7D4F" w:rsidP="003C7D4F">
      <w:pPr>
        <w:tabs>
          <w:tab w:val="left" w:pos="2340"/>
        </w:tabs>
        <w:snapToGrid w:val="0"/>
        <w:spacing w:line="0" w:lineRule="atLeast"/>
        <w:ind w:leftChars="300" w:left="720"/>
        <w:jc w:val="both"/>
        <w:rPr>
          <w:rFonts w:ascii="Arial" w:eastAsia="標楷體" w:hAnsi="Arial"/>
          <w:color w:val="000000" w:themeColor="text1"/>
          <w:sz w:val="18"/>
          <w:szCs w:val="18"/>
        </w:rPr>
      </w:pPr>
      <w:r w:rsidRPr="003C7D4F">
        <w:rPr>
          <w:rFonts w:ascii="Arial" w:eastAsia="標楷體" w:hAnsi="Arial" w:hint="eastAsia"/>
          <w:color w:val="000000" w:themeColor="text1"/>
          <w:sz w:val="18"/>
          <w:szCs w:val="18"/>
        </w:rPr>
        <w:t>本權證結算價格之計算：</w:t>
      </w:r>
    </w:p>
    <w:p w14:paraId="10281B8F" w14:textId="77777777" w:rsidR="003C7D4F" w:rsidRPr="003C7D4F" w:rsidRDefault="003C7D4F" w:rsidP="003C7D4F">
      <w:pPr>
        <w:tabs>
          <w:tab w:val="left" w:pos="2340"/>
        </w:tabs>
        <w:snapToGrid w:val="0"/>
        <w:spacing w:line="0" w:lineRule="atLeast"/>
        <w:ind w:leftChars="400" w:left="960"/>
        <w:jc w:val="both"/>
        <w:rPr>
          <w:rFonts w:ascii="Arial" w:eastAsia="標楷體" w:hAnsi="Arial"/>
          <w:color w:val="000000" w:themeColor="text1"/>
          <w:sz w:val="18"/>
          <w:szCs w:val="18"/>
        </w:rPr>
      </w:pPr>
      <w:r w:rsidRPr="003C7D4F">
        <w:rPr>
          <w:rFonts w:ascii="Arial" w:eastAsia="標楷體" w:hAnsi="Arial"/>
          <w:color w:val="000000" w:themeColor="text1"/>
          <w:sz w:val="18"/>
          <w:szCs w:val="18"/>
        </w:rPr>
        <w:t>a.</w:t>
      </w:r>
      <w:r w:rsidRPr="003C7D4F">
        <w:rPr>
          <w:rFonts w:ascii="Arial" w:eastAsia="標楷體" w:hAnsi="Arial" w:hint="eastAsia"/>
          <w:color w:val="000000" w:themeColor="text1"/>
          <w:sz w:val="18"/>
          <w:szCs w:val="18"/>
        </w:rPr>
        <w:t>計算公式採</w:t>
      </w:r>
      <w:proofErr w:type="spellStart"/>
      <w:r w:rsidRPr="003C7D4F">
        <w:rPr>
          <w:rFonts w:ascii="Arial" w:eastAsia="標楷體" w:hAnsi="Arial"/>
          <w:b/>
          <w:color w:val="000000" w:themeColor="text1"/>
          <w:sz w:val="18"/>
          <w:szCs w:val="18"/>
        </w:rPr>
        <w:t>Black&amp;Scholes</w:t>
      </w:r>
      <w:proofErr w:type="spellEnd"/>
      <w:r w:rsidRPr="003C7D4F">
        <w:rPr>
          <w:rFonts w:ascii="Arial" w:eastAsia="標楷體" w:hAnsi="Arial" w:cs="Arial" w:hint="eastAsia"/>
          <w:color w:val="000000" w:themeColor="text1"/>
          <w:sz w:val="18"/>
          <w:szCs w:val="18"/>
        </w:rPr>
        <w:t>評價模型，時間價值將依交易日遞減。</w:t>
      </w:r>
    </w:p>
    <w:p w14:paraId="6DB5FEF5" w14:textId="77777777" w:rsidR="003C7D4F" w:rsidRPr="003C7D4F" w:rsidRDefault="003C7D4F" w:rsidP="003C7D4F">
      <w:pPr>
        <w:tabs>
          <w:tab w:val="left" w:pos="2340"/>
        </w:tabs>
        <w:snapToGrid w:val="0"/>
        <w:spacing w:line="0" w:lineRule="atLeast"/>
        <w:ind w:leftChars="400" w:left="960"/>
        <w:jc w:val="both"/>
        <w:rPr>
          <w:rFonts w:ascii="Arial" w:eastAsia="標楷體" w:hAnsi="Arial"/>
          <w:color w:val="000000" w:themeColor="text1"/>
          <w:sz w:val="18"/>
          <w:szCs w:val="18"/>
        </w:rPr>
      </w:pPr>
      <w:r w:rsidRPr="003C7D4F">
        <w:rPr>
          <w:rFonts w:ascii="Arial" w:eastAsia="標楷體" w:hAnsi="Arial"/>
          <w:color w:val="000000" w:themeColor="text1"/>
          <w:sz w:val="18"/>
          <w:szCs w:val="18"/>
        </w:rPr>
        <w:t>b.</w:t>
      </w:r>
      <w:r w:rsidRPr="003C7D4F">
        <w:rPr>
          <w:rFonts w:ascii="Arial" w:eastAsia="標楷體" w:hAnsi="Arial" w:hint="eastAsia"/>
          <w:color w:val="000000" w:themeColor="text1"/>
          <w:sz w:val="18"/>
          <w:szCs w:val="18"/>
        </w:rPr>
        <w:t>參數採用方式：</w:t>
      </w:r>
    </w:p>
    <w:p w14:paraId="7A02FE2D" w14:textId="77777777" w:rsidR="003C7D4F" w:rsidRPr="003C7D4F" w:rsidRDefault="003C7D4F" w:rsidP="003C7D4F">
      <w:pPr>
        <w:spacing w:line="0" w:lineRule="atLeast"/>
        <w:ind w:leftChars="700" w:left="1680"/>
        <w:rPr>
          <w:rFonts w:eastAsia="標楷體"/>
          <w:sz w:val="18"/>
          <w:szCs w:val="18"/>
        </w:rPr>
      </w:pPr>
      <w:r w:rsidRPr="003C7D4F">
        <w:rPr>
          <w:rFonts w:eastAsia="標楷體" w:hAnsi="標楷體"/>
          <w:sz w:val="18"/>
          <w:szCs w:val="18"/>
        </w:rPr>
        <w:t>本權證結算價格之計算：</w:t>
      </w:r>
    </w:p>
    <w:p w14:paraId="5FDE0A3E" w14:textId="77777777" w:rsidR="003C7D4F" w:rsidRPr="003C7D4F" w:rsidRDefault="003C7D4F" w:rsidP="003C7D4F">
      <w:pPr>
        <w:spacing w:line="0" w:lineRule="atLeast"/>
        <w:ind w:leftChars="700" w:left="1680"/>
        <w:rPr>
          <w:rFonts w:eastAsia="標楷體"/>
          <w:sz w:val="18"/>
          <w:szCs w:val="18"/>
        </w:rPr>
      </w:pPr>
      <w:r w:rsidRPr="003C7D4F">
        <w:rPr>
          <w:rFonts w:eastAsia="標楷體"/>
          <w:sz w:val="18"/>
          <w:szCs w:val="18"/>
        </w:rPr>
        <w:t>a.</w:t>
      </w:r>
      <w:r w:rsidRPr="003C7D4F">
        <w:rPr>
          <w:rFonts w:eastAsia="標楷體" w:hAnsi="標楷體"/>
          <w:sz w:val="18"/>
          <w:szCs w:val="18"/>
        </w:rPr>
        <w:t>計算公式採</w:t>
      </w:r>
      <w:r w:rsidRPr="003C7D4F">
        <w:rPr>
          <w:rFonts w:eastAsia="標楷體"/>
          <w:sz w:val="18"/>
          <w:szCs w:val="18"/>
        </w:rPr>
        <w:t>Black &amp; Scholes</w:t>
      </w:r>
      <w:r w:rsidRPr="003C7D4F">
        <w:rPr>
          <w:rFonts w:eastAsia="標楷體" w:hAnsi="標楷體"/>
          <w:sz w:val="18"/>
          <w:szCs w:val="18"/>
        </w:rPr>
        <w:t>公式。</w:t>
      </w:r>
    </w:p>
    <w:p w14:paraId="643BDD24" w14:textId="77777777" w:rsidR="003C7D4F" w:rsidRPr="003C7D4F" w:rsidRDefault="003C7D4F" w:rsidP="003C7D4F">
      <w:pPr>
        <w:spacing w:line="0" w:lineRule="atLeast"/>
        <w:ind w:leftChars="700" w:left="1680"/>
        <w:rPr>
          <w:rFonts w:eastAsia="標楷體"/>
          <w:sz w:val="18"/>
          <w:szCs w:val="18"/>
        </w:rPr>
      </w:pPr>
      <w:r w:rsidRPr="003C7D4F">
        <w:rPr>
          <w:rFonts w:eastAsia="標楷體"/>
          <w:sz w:val="18"/>
          <w:szCs w:val="18"/>
        </w:rPr>
        <w:t>b.</w:t>
      </w:r>
      <w:r w:rsidRPr="003C7D4F">
        <w:rPr>
          <w:rFonts w:eastAsia="標楷體" w:hAnsi="標楷體"/>
          <w:sz w:val="18"/>
          <w:szCs w:val="18"/>
        </w:rPr>
        <w:t>參數採用方式：</w:t>
      </w:r>
    </w:p>
    <w:p w14:paraId="679F8824" w14:textId="77777777" w:rsidR="003C7D4F" w:rsidRPr="003C7D4F" w:rsidRDefault="003C7D4F" w:rsidP="003C7D4F">
      <w:pPr>
        <w:numPr>
          <w:ilvl w:val="0"/>
          <w:numId w:val="17"/>
        </w:numPr>
        <w:adjustRightInd/>
        <w:spacing w:line="0" w:lineRule="atLeast"/>
        <w:ind w:hanging="235"/>
        <w:textAlignment w:val="auto"/>
        <w:rPr>
          <w:rFonts w:eastAsia="標楷體" w:hAnsi="標楷體"/>
          <w:sz w:val="18"/>
          <w:szCs w:val="18"/>
        </w:rPr>
      </w:pPr>
      <w:r w:rsidRPr="003C7D4F">
        <w:rPr>
          <w:rFonts w:eastAsia="標楷體" w:hAnsi="標楷體"/>
          <w:sz w:val="18"/>
          <w:szCs w:val="18"/>
        </w:rPr>
        <w:t>標的證券價格：採用權證視為到期日標的證券</w:t>
      </w:r>
      <w:r w:rsidRPr="003C7D4F">
        <w:rPr>
          <w:rFonts w:eastAsia="標楷體" w:hAnsi="標楷體" w:hint="eastAsia"/>
          <w:sz w:val="18"/>
          <w:szCs w:val="18"/>
        </w:rPr>
        <w:t>收盤前六十分鐘內成交價格之簡單算術平均價</w:t>
      </w:r>
      <w:r w:rsidRPr="003C7D4F">
        <w:rPr>
          <w:rFonts w:eastAsia="標楷體" w:hAnsi="標楷體"/>
          <w:sz w:val="18"/>
          <w:szCs w:val="18"/>
        </w:rPr>
        <w:t>。</w:t>
      </w:r>
    </w:p>
    <w:p w14:paraId="6E36B3A7" w14:textId="77777777" w:rsidR="003C7D4F" w:rsidRPr="003C7D4F" w:rsidRDefault="003C7D4F" w:rsidP="003C7D4F">
      <w:pPr>
        <w:numPr>
          <w:ilvl w:val="0"/>
          <w:numId w:val="17"/>
        </w:numPr>
        <w:adjustRightInd/>
        <w:spacing w:line="0" w:lineRule="atLeast"/>
        <w:ind w:hanging="235"/>
        <w:textAlignment w:val="auto"/>
        <w:rPr>
          <w:rFonts w:eastAsia="標楷體"/>
          <w:sz w:val="18"/>
          <w:szCs w:val="18"/>
        </w:rPr>
      </w:pPr>
      <w:r w:rsidRPr="003C7D4F">
        <w:rPr>
          <w:rFonts w:eastAsia="標楷體" w:hAnsi="標楷體"/>
          <w:sz w:val="18"/>
          <w:szCs w:val="18"/>
        </w:rPr>
        <w:t>履約價格：採用最新之權證履約價格。</w:t>
      </w:r>
    </w:p>
    <w:p w14:paraId="4397010F" w14:textId="77777777" w:rsidR="003C7D4F" w:rsidRPr="003C7D4F" w:rsidRDefault="003C7D4F" w:rsidP="003C7D4F">
      <w:pPr>
        <w:numPr>
          <w:ilvl w:val="0"/>
          <w:numId w:val="17"/>
        </w:numPr>
        <w:adjustRightInd/>
        <w:spacing w:line="0" w:lineRule="atLeast"/>
        <w:ind w:hanging="235"/>
        <w:textAlignment w:val="auto"/>
        <w:rPr>
          <w:rFonts w:eastAsia="標楷體"/>
          <w:sz w:val="18"/>
          <w:szCs w:val="18"/>
        </w:rPr>
      </w:pPr>
      <w:r w:rsidRPr="003C7D4F">
        <w:rPr>
          <w:rFonts w:eastAsia="標楷體" w:hAnsi="標楷體"/>
          <w:sz w:val="18"/>
          <w:szCs w:val="18"/>
        </w:rPr>
        <w:t>執行比例：採用最新之權證執行比例。</w:t>
      </w:r>
    </w:p>
    <w:p w14:paraId="13106BCD" w14:textId="77777777" w:rsidR="003C7D4F" w:rsidRPr="003C7D4F" w:rsidRDefault="003C7D4F" w:rsidP="003C7D4F">
      <w:pPr>
        <w:numPr>
          <w:ilvl w:val="0"/>
          <w:numId w:val="17"/>
        </w:numPr>
        <w:adjustRightInd/>
        <w:spacing w:line="0" w:lineRule="atLeast"/>
        <w:ind w:hanging="235"/>
        <w:textAlignment w:val="auto"/>
        <w:rPr>
          <w:rFonts w:eastAsia="標楷體"/>
          <w:sz w:val="18"/>
          <w:szCs w:val="18"/>
        </w:rPr>
      </w:pPr>
      <w:r w:rsidRPr="003C7D4F">
        <w:rPr>
          <w:rFonts w:eastAsia="標楷體" w:hAnsi="標楷體"/>
          <w:sz w:val="18"/>
          <w:szCs w:val="18"/>
        </w:rPr>
        <w:t>存續期間：依原發行計畫之到期日計算。</w:t>
      </w:r>
    </w:p>
    <w:p w14:paraId="780458A8" w14:textId="77777777" w:rsidR="003C7D4F" w:rsidRPr="003C7D4F" w:rsidRDefault="003C7D4F" w:rsidP="003C7D4F">
      <w:pPr>
        <w:numPr>
          <w:ilvl w:val="0"/>
          <w:numId w:val="17"/>
        </w:numPr>
        <w:adjustRightInd/>
        <w:spacing w:line="0" w:lineRule="atLeast"/>
        <w:ind w:hanging="235"/>
        <w:textAlignment w:val="auto"/>
        <w:rPr>
          <w:rFonts w:eastAsia="標楷體"/>
          <w:sz w:val="18"/>
          <w:szCs w:val="18"/>
        </w:rPr>
      </w:pPr>
      <w:r w:rsidRPr="003C7D4F">
        <w:rPr>
          <w:rFonts w:eastAsia="標楷體" w:hAnsi="標楷體"/>
          <w:sz w:val="18"/>
          <w:szCs w:val="18"/>
        </w:rPr>
        <w:t>利率：依原發行計畫之利率條件。</w:t>
      </w:r>
    </w:p>
    <w:p w14:paraId="59CA2648" w14:textId="77777777" w:rsidR="003C7D4F" w:rsidRPr="00AF2F61" w:rsidRDefault="003C7D4F" w:rsidP="003C7D4F">
      <w:pPr>
        <w:numPr>
          <w:ilvl w:val="0"/>
          <w:numId w:val="17"/>
        </w:numPr>
        <w:adjustRightInd/>
        <w:spacing w:line="0" w:lineRule="atLeast"/>
        <w:ind w:hanging="235"/>
        <w:textAlignment w:val="auto"/>
        <w:rPr>
          <w:rFonts w:eastAsia="標楷體"/>
          <w:sz w:val="18"/>
          <w:szCs w:val="18"/>
        </w:rPr>
      </w:pPr>
      <w:r w:rsidRPr="003C7D4F">
        <w:rPr>
          <w:rFonts w:eastAsia="標楷體" w:hAnsi="標楷體"/>
          <w:sz w:val="18"/>
          <w:szCs w:val="18"/>
        </w:rPr>
        <w:t>現金股利：</w:t>
      </w:r>
      <w:r w:rsidRPr="003C7D4F">
        <w:rPr>
          <w:rFonts w:eastAsia="標楷體"/>
          <w:sz w:val="18"/>
          <w:szCs w:val="18"/>
        </w:rPr>
        <w:t>0</w:t>
      </w:r>
      <w:r w:rsidRPr="003C7D4F">
        <w:rPr>
          <w:rFonts w:eastAsia="標楷體" w:hAnsi="標楷體"/>
          <w:sz w:val="18"/>
          <w:szCs w:val="18"/>
        </w:rPr>
        <w:t>。</w:t>
      </w:r>
    </w:p>
    <w:p w14:paraId="3B2B7EBC" w14:textId="77777777" w:rsidR="003C7D4F" w:rsidRPr="00AF2F61" w:rsidRDefault="003C7D4F" w:rsidP="00AF2F61">
      <w:pPr>
        <w:numPr>
          <w:ilvl w:val="0"/>
          <w:numId w:val="17"/>
        </w:numPr>
        <w:adjustRightInd/>
        <w:spacing w:line="0" w:lineRule="atLeast"/>
        <w:ind w:hanging="235"/>
        <w:textAlignment w:val="auto"/>
        <w:rPr>
          <w:rFonts w:eastAsia="標楷體"/>
          <w:sz w:val="18"/>
          <w:szCs w:val="18"/>
        </w:rPr>
      </w:pPr>
      <w:r w:rsidRPr="00AF2F61">
        <w:rPr>
          <w:rFonts w:eastAsia="標楷體" w:hAnsi="標楷體"/>
          <w:sz w:val="18"/>
          <w:szCs w:val="18"/>
        </w:rPr>
        <w:t>股價波動率：</w:t>
      </w:r>
      <w:r w:rsidR="00AF2F61" w:rsidRPr="00AF2F61">
        <w:rPr>
          <w:rFonts w:eastAsia="標楷體" w:hAnsi="標楷體" w:hint="eastAsia"/>
          <w:sz w:val="18"/>
          <w:szCs w:val="18"/>
        </w:rPr>
        <w:t>該權證之造市波動度。（即權證最後交易日，流動量提供者委託買單造市波動度）</w:t>
      </w:r>
      <w:r w:rsidR="00AF2F61" w:rsidRPr="00AF2F61">
        <w:rPr>
          <w:rFonts w:eastAsia="標楷體"/>
          <w:sz w:val="18"/>
          <w:szCs w:val="18"/>
        </w:rPr>
        <w:t xml:space="preserve"> </w:t>
      </w:r>
    </w:p>
    <w:p w14:paraId="0EA9BF54" w14:textId="77777777" w:rsidR="003C7D4F" w:rsidRPr="003C7D4F" w:rsidRDefault="003C7D4F" w:rsidP="003C7D4F">
      <w:pPr>
        <w:numPr>
          <w:ilvl w:val="0"/>
          <w:numId w:val="17"/>
        </w:numPr>
        <w:tabs>
          <w:tab w:val="num" w:pos="1680"/>
        </w:tabs>
        <w:adjustRightInd/>
        <w:spacing w:line="0" w:lineRule="atLeast"/>
        <w:ind w:hanging="235"/>
        <w:textAlignment w:val="auto"/>
        <w:rPr>
          <w:rFonts w:eastAsia="標楷體"/>
          <w:sz w:val="18"/>
          <w:szCs w:val="18"/>
        </w:rPr>
      </w:pPr>
      <w:r w:rsidRPr="003C7D4F">
        <w:rPr>
          <w:rFonts w:eastAsia="標楷體" w:hAnsi="標楷體"/>
          <w:sz w:val="18"/>
          <w:szCs w:val="18"/>
        </w:rPr>
        <w:t>以上結算價格之計算，以百分位為最小單位，並以千分位四捨五入計算。</w:t>
      </w:r>
    </w:p>
    <w:p w14:paraId="211DA281" w14:textId="77777777" w:rsidR="00B25572" w:rsidRPr="006675C9" w:rsidRDefault="003C7D4F" w:rsidP="003C7D4F">
      <w:pPr>
        <w:snapToGrid w:val="0"/>
        <w:spacing w:line="0" w:lineRule="atLeast"/>
        <w:ind w:leftChars="303" w:left="144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 xml:space="preserve"> </w:t>
      </w:r>
      <w:r w:rsidR="00B25572" w:rsidRPr="006675C9">
        <w:rPr>
          <w:rFonts w:ascii="Arial" w:eastAsia="標楷體" w:hAnsi="標楷體" w:cs="Arial" w:hint="eastAsia"/>
          <w:color w:val="000000" w:themeColor="text1"/>
          <w:sz w:val="18"/>
          <w:szCs w:val="18"/>
        </w:rPr>
        <w:t>(3)</w:t>
      </w:r>
      <w:r w:rsidR="00B25572" w:rsidRPr="006675C9">
        <w:rPr>
          <w:rFonts w:ascii="Arial" w:eastAsia="標楷體" w:hAnsi="標楷體" w:cs="Arial" w:hint="eastAsia"/>
          <w:color w:val="000000" w:themeColor="text1"/>
          <w:sz w:val="18"/>
          <w:szCs w:val="18"/>
        </w:rPr>
        <w:t>前述終止上櫃事項發生時，發行人將依櫃買中心規定辦理公告。</w:t>
      </w:r>
    </w:p>
    <w:p w14:paraId="08EFF00E" w14:textId="77777777" w:rsidR="00B25572" w:rsidRPr="006675C9" w:rsidRDefault="00B25572" w:rsidP="006675C9">
      <w:pPr>
        <w:snapToGrid w:val="0"/>
        <w:spacing w:line="200" w:lineRule="exact"/>
        <w:ind w:leftChars="203" w:left="1207" w:hangingChars="400" w:hanging="72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8.</w:t>
      </w:r>
      <w:r w:rsidRPr="006675C9">
        <w:rPr>
          <w:rFonts w:ascii="Arial" w:eastAsia="標楷體" w:hAnsi="標楷體" w:cs="Arial" w:hint="eastAsia"/>
          <w:color w:val="000000" w:themeColor="text1"/>
          <w:sz w:val="18"/>
          <w:szCs w:val="18"/>
        </w:rPr>
        <w:t>轉上市</w:t>
      </w:r>
    </w:p>
    <w:p w14:paraId="77D8FD9C" w14:textId="77777777" w:rsidR="00B25572" w:rsidRDefault="00B25572" w:rsidP="006675C9">
      <w:pPr>
        <w:snapToGrid w:val="0"/>
        <w:spacing w:line="200" w:lineRule="exact"/>
        <w:ind w:leftChars="253" w:left="1237" w:hangingChars="350" w:hanging="630"/>
        <w:jc w:val="both"/>
        <w:rPr>
          <w:rFonts w:ascii="Arial" w:eastAsia="標楷體" w:hAnsi="標楷體" w:cs="Arial"/>
          <w:color w:val="000000" w:themeColor="text1"/>
          <w:sz w:val="18"/>
          <w:szCs w:val="18"/>
        </w:rPr>
      </w:pPr>
      <w:r w:rsidRPr="006675C9">
        <w:rPr>
          <w:rFonts w:ascii="Arial" w:eastAsia="標楷體" w:hAnsi="標楷體" w:cs="Arial" w:hint="eastAsia"/>
          <w:color w:val="000000" w:themeColor="text1"/>
          <w:sz w:val="18"/>
          <w:szCs w:val="18"/>
        </w:rPr>
        <w:t>惟股票終止上櫃情事若係標的證券發行公司轉上市時，其權證得在本中心繼續買賣至到期日止</w:t>
      </w:r>
    </w:p>
    <w:p w14:paraId="5A86302C" w14:textId="3EE7BEB9" w:rsidR="00836370" w:rsidRPr="00BC5F0E" w:rsidRDefault="00BC5F0E" w:rsidP="006675C9">
      <w:pPr>
        <w:numPr>
          <w:ilvl w:val="0"/>
          <w:numId w:val="3"/>
        </w:numPr>
        <w:snapToGrid w:val="0"/>
        <w:spacing w:line="200" w:lineRule="exact"/>
        <w:rPr>
          <w:rFonts w:ascii="Arial" w:eastAsia="標楷體" w:hAnsi="Arial" w:cs="Arial"/>
          <w:b/>
          <w:color w:val="000000" w:themeColor="text1"/>
          <w:sz w:val="18"/>
          <w:szCs w:val="18"/>
        </w:rPr>
      </w:pPr>
      <w:r w:rsidRPr="00BC5F0E">
        <w:rPr>
          <w:rFonts w:ascii="Arial" w:eastAsia="標楷體" w:hAnsi="標楷體" w:cs="Arial" w:hint="eastAsia"/>
          <w:b/>
          <w:color w:val="000000" w:themeColor="text1"/>
          <w:sz w:val="18"/>
          <w:szCs w:val="18"/>
        </w:rPr>
        <w:t>權證提前終止上櫃</w:t>
      </w:r>
    </w:p>
    <w:p w14:paraId="3D64E12F" w14:textId="0C76495E" w:rsidR="00BC5F0E" w:rsidRPr="00810767" w:rsidRDefault="00BC5F0E" w:rsidP="00BC5F0E">
      <w:pPr>
        <w:snapToGrid w:val="0"/>
        <w:spacing w:line="200" w:lineRule="exact"/>
        <w:ind w:left="482"/>
        <w:rPr>
          <w:rFonts w:ascii="Arial" w:eastAsia="標楷體" w:hAnsi="Arial" w:cs="Arial"/>
          <w:bCs/>
          <w:color w:val="000000" w:themeColor="text1"/>
          <w:sz w:val="18"/>
          <w:szCs w:val="18"/>
          <w:u w:val="single"/>
        </w:rPr>
      </w:pPr>
      <w:r w:rsidRPr="00810767">
        <w:rPr>
          <w:rFonts w:ascii="Arial" w:eastAsia="標楷體" w:hAnsi="Arial" w:cs="Arial" w:hint="eastAsia"/>
          <w:bCs/>
          <w:color w:val="000000" w:themeColor="text1"/>
          <w:sz w:val="18"/>
          <w:szCs w:val="18"/>
          <w:u w:val="single"/>
        </w:rPr>
        <w:t>認購（售）權證自初次上櫃二個月（不含）起至到期日前二個月（不含）止，除上（下）限型認購（售）權證外，如無流通在外發行單位且最新履約價格或點數達到價內或價外百分之二十以上者，發行人得申請其提前終止</w:t>
      </w:r>
      <w:r w:rsidR="00FC3B08" w:rsidRPr="00FC3B08">
        <w:rPr>
          <w:rFonts w:ascii="Arial" w:eastAsia="標楷體" w:hAnsi="Arial" w:cs="Arial" w:hint="eastAsia"/>
          <w:bCs/>
          <w:color w:val="000000" w:themeColor="text1"/>
          <w:sz w:val="18"/>
          <w:szCs w:val="18"/>
          <w:u w:val="single"/>
        </w:rPr>
        <w:t>櫃檯買賣</w:t>
      </w:r>
      <w:r w:rsidRPr="00810767">
        <w:rPr>
          <w:rFonts w:ascii="Arial" w:eastAsia="標楷體" w:hAnsi="Arial" w:cs="Arial" w:hint="eastAsia"/>
          <w:bCs/>
          <w:color w:val="000000" w:themeColor="text1"/>
          <w:sz w:val="18"/>
          <w:szCs w:val="18"/>
          <w:u w:val="single"/>
        </w:rPr>
        <w:t>，申請日之次一營業日視同該權證最後交易日，並於次三營業日到期。</w:t>
      </w:r>
    </w:p>
    <w:p w14:paraId="2DD35BEB" w14:textId="5B13315C" w:rsidR="00BC5F0E" w:rsidRPr="00BC5F0E" w:rsidRDefault="00BC5F0E" w:rsidP="00BC5F0E">
      <w:pPr>
        <w:numPr>
          <w:ilvl w:val="0"/>
          <w:numId w:val="3"/>
        </w:numPr>
        <w:snapToGrid w:val="0"/>
        <w:spacing w:line="200" w:lineRule="exact"/>
        <w:rPr>
          <w:rFonts w:ascii="Arial" w:eastAsia="標楷體" w:hAnsi="Arial" w:cs="Arial"/>
          <w:b/>
          <w:color w:val="000000" w:themeColor="text1"/>
          <w:sz w:val="18"/>
          <w:szCs w:val="18"/>
        </w:rPr>
      </w:pPr>
      <w:r w:rsidRPr="006675C9">
        <w:rPr>
          <w:rFonts w:ascii="Arial" w:eastAsia="標楷體" w:hAnsi="標楷體" w:cs="Arial" w:hint="eastAsia"/>
          <w:b/>
          <w:color w:val="000000" w:themeColor="text1"/>
          <w:sz w:val="18"/>
          <w:szCs w:val="18"/>
        </w:rPr>
        <w:t>認購權證</w:t>
      </w:r>
      <w:r w:rsidRPr="006675C9">
        <w:rPr>
          <w:rFonts w:ascii="Arial" w:eastAsia="標楷體" w:hAnsi="標楷體" w:cs="Arial"/>
          <w:b/>
          <w:color w:val="000000" w:themeColor="text1"/>
          <w:sz w:val="18"/>
          <w:szCs w:val="18"/>
        </w:rPr>
        <w:t>存續期屆滿之效力</w:t>
      </w:r>
    </w:p>
    <w:p w14:paraId="68F2F467" w14:textId="77777777" w:rsidR="00AA4461" w:rsidRPr="006675C9" w:rsidRDefault="00A349DC" w:rsidP="006675C9">
      <w:pPr>
        <w:snapToGrid w:val="0"/>
        <w:spacing w:line="200" w:lineRule="exact"/>
        <w:ind w:leftChars="199" w:left="478"/>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本</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存續期間屆滿日或視為到期日，持有人未請求履約者，</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失其效力，除本發行計畫另有規定外，發行人對</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不負任何責任。</w:t>
      </w:r>
    </w:p>
    <w:p w14:paraId="4B970D40" w14:textId="77777777" w:rsidR="00A349DC" w:rsidRPr="006675C9" w:rsidRDefault="00F45FE2" w:rsidP="006675C9">
      <w:pPr>
        <w:numPr>
          <w:ilvl w:val="0"/>
          <w:numId w:val="3"/>
        </w:numPr>
        <w:snapToGrid w:val="0"/>
        <w:spacing w:line="200" w:lineRule="exact"/>
        <w:rPr>
          <w:rFonts w:ascii="Arial" w:eastAsia="標楷體" w:hAnsi="Arial" w:cs="Arial"/>
          <w:color w:val="000000" w:themeColor="text1"/>
          <w:sz w:val="18"/>
          <w:szCs w:val="18"/>
        </w:rPr>
      </w:pPr>
      <w:r w:rsidRPr="006675C9">
        <w:rPr>
          <w:rFonts w:ascii="Arial" w:eastAsia="標楷體" w:hAnsi="標楷體" w:cs="Arial" w:hint="eastAsia"/>
          <w:b/>
          <w:color w:val="000000" w:themeColor="text1"/>
          <w:sz w:val="18"/>
          <w:szCs w:val="18"/>
        </w:rPr>
        <w:t>認購權證</w:t>
      </w:r>
      <w:r w:rsidR="00A349DC" w:rsidRPr="006675C9">
        <w:rPr>
          <w:rFonts w:ascii="Arial" w:eastAsia="標楷體" w:hAnsi="標楷體" w:cs="Arial"/>
          <w:b/>
          <w:color w:val="000000" w:themeColor="text1"/>
          <w:sz w:val="18"/>
          <w:szCs w:val="18"/>
        </w:rPr>
        <w:t>之轉換</w:t>
      </w:r>
    </w:p>
    <w:p w14:paraId="7CE4376C" w14:textId="77777777" w:rsidR="00A349DC" w:rsidRPr="006675C9" w:rsidRDefault="00A349DC" w:rsidP="006675C9">
      <w:pPr>
        <w:tabs>
          <w:tab w:val="num" w:pos="1160"/>
        </w:tabs>
        <w:snapToGrid w:val="0"/>
        <w:spacing w:line="200" w:lineRule="exact"/>
        <w:ind w:firstLineChars="342" w:firstLine="616"/>
        <w:jc w:val="both"/>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發行人不得主動轉換為存續期間長於本</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之另一</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或其他證券。</w:t>
      </w:r>
    </w:p>
    <w:p w14:paraId="5A2F2F02" w14:textId="77777777" w:rsidR="00836370" w:rsidRPr="006675C9" w:rsidRDefault="00836370" w:rsidP="006675C9">
      <w:pPr>
        <w:numPr>
          <w:ilvl w:val="0"/>
          <w:numId w:val="3"/>
        </w:numPr>
        <w:tabs>
          <w:tab w:val="clear" w:pos="482"/>
          <w:tab w:val="num" w:pos="480"/>
        </w:tabs>
        <w:snapToGrid w:val="0"/>
        <w:spacing w:line="200" w:lineRule="exact"/>
        <w:ind w:left="480" w:hanging="480"/>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發行人未於規定時限履行義務時，對其於臺灣集中保管結算所股份有限公司帳戶內存券之分配處理方式</w:t>
      </w:r>
      <w:r w:rsidRPr="006675C9">
        <w:rPr>
          <w:rFonts w:ascii="Arial" w:eastAsia="標楷體" w:hAnsi="Arial" w:cs="Arial"/>
          <w:b/>
          <w:color w:val="000000" w:themeColor="text1"/>
          <w:sz w:val="18"/>
          <w:szCs w:val="18"/>
        </w:rPr>
        <w:br/>
      </w:r>
      <w:r w:rsidRPr="006675C9">
        <w:rPr>
          <w:rFonts w:ascii="Arial" w:eastAsia="標楷體" w:hAnsi="標楷體" w:cs="Arial"/>
          <w:color w:val="000000" w:themeColor="text1"/>
          <w:sz w:val="18"/>
          <w:szCs w:val="18"/>
        </w:rPr>
        <w:t>發行人若未能於規定時限內履行其交付標的證券或現金差價之義務時，發行人於臺灣集中保管結算所股份有限公司開立之集保履約專戶內之存券，概依民法及其他相關法令中有關債權人求償之相關規定，優先償還權證持有人。</w:t>
      </w:r>
    </w:p>
    <w:p w14:paraId="5F2B3478" w14:textId="77777777" w:rsidR="00836370" w:rsidRPr="006675C9" w:rsidRDefault="00836370" w:rsidP="006675C9">
      <w:pPr>
        <w:numPr>
          <w:ilvl w:val="0"/>
          <w:numId w:val="3"/>
        </w:numPr>
        <w:snapToGrid w:val="0"/>
        <w:spacing w:line="200" w:lineRule="exact"/>
        <w:ind w:left="480" w:hanging="480"/>
        <w:jc w:val="both"/>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特別聲明</w:t>
      </w:r>
      <w:r w:rsidRPr="006675C9">
        <w:rPr>
          <w:rFonts w:ascii="Arial" w:eastAsia="標楷體" w:hAnsi="Arial" w:cs="Arial"/>
          <w:b/>
          <w:color w:val="000000" w:themeColor="text1"/>
          <w:sz w:val="18"/>
          <w:szCs w:val="18"/>
        </w:rPr>
        <w:br/>
      </w:r>
      <w:r w:rsidRPr="006675C9">
        <w:rPr>
          <w:rFonts w:ascii="Arial" w:eastAsia="標楷體" w:hAnsi="標楷體" w:cs="Arial"/>
          <w:color w:val="000000" w:themeColor="text1"/>
          <w:sz w:val="18"/>
          <w:szCs w:val="18"/>
        </w:rPr>
        <w:t>本</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購買人應事先了解</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之相關法令及</w:t>
      </w:r>
      <w:r w:rsidR="0020197A" w:rsidRPr="006675C9">
        <w:rPr>
          <w:rFonts w:ascii="Arial" w:eastAsia="標楷體" w:hAnsi="標楷體" w:cs="Arial"/>
          <w:color w:val="000000" w:themeColor="text1"/>
          <w:sz w:val="18"/>
          <w:szCs w:val="18"/>
        </w:rPr>
        <w:t>櫃買中心</w:t>
      </w:r>
      <w:r w:rsidRPr="006675C9">
        <w:rPr>
          <w:rFonts w:ascii="Arial" w:eastAsia="標楷體" w:hAnsi="標楷體" w:cs="Arial"/>
          <w:color w:val="000000" w:themeColor="text1"/>
          <w:sz w:val="18"/>
          <w:szCs w:val="18"/>
        </w:rPr>
        <w:t>與臺灣集中保管結算所之相關規定，並詳閱本發行計畫及發行人之公開說明書，購買本</w:t>
      </w:r>
      <w:r w:rsidR="00F45FE2" w:rsidRPr="006675C9">
        <w:rPr>
          <w:rFonts w:ascii="Arial" w:eastAsia="標楷體" w:hAnsi="標楷體" w:cs="Arial" w:hint="eastAsia"/>
          <w:color w:val="000000" w:themeColor="text1"/>
          <w:sz w:val="18"/>
          <w:szCs w:val="18"/>
        </w:rPr>
        <w:t>認購權證</w:t>
      </w:r>
      <w:r w:rsidRPr="006675C9">
        <w:rPr>
          <w:rFonts w:ascii="Arial" w:eastAsia="標楷體" w:hAnsi="標楷體" w:cs="Arial"/>
          <w:color w:val="000000" w:themeColor="text1"/>
          <w:sz w:val="18"/>
          <w:szCs w:val="18"/>
        </w:rPr>
        <w:t>後，即受相關規定及本發行計畫與公開說明書內容之拘束，不得以不知相關規定及發行計畫與公開說明書為由，提出任何主張。</w:t>
      </w:r>
    </w:p>
    <w:p w14:paraId="1788CA25" w14:textId="77777777" w:rsidR="00836370" w:rsidRPr="006675C9" w:rsidRDefault="00836370" w:rsidP="006675C9">
      <w:pPr>
        <w:numPr>
          <w:ilvl w:val="0"/>
          <w:numId w:val="3"/>
        </w:numPr>
        <w:snapToGrid w:val="0"/>
        <w:spacing w:line="200" w:lineRule="exact"/>
        <w:rPr>
          <w:rFonts w:ascii="Arial" w:eastAsia="標楷體" w:hAnsi="Arial" w:cs="Arial"/>
          <w:b/>
          <w:color w:val="000000" w:themeColor="text1"/>
          <w:sz w:val="18"/>
          <w:szCs w:val="18"/>
        </w:rPr>
      </w:pPr>
      <w:r w:rsidRPr="006675C9">
        <w:rPr>
          <w:rFonts w:ascii="Arial" w:eastAsia="標楷體" w:hAnsi="標楷體" w:cs="Arial"/>
          <w:b/>
          <w:color w:val="000000" w:themeColor="text1"/>
          <w:sz w:val="18"/>
          <w:szCs w:val="18"/>
        </w:rPr>
        <w:t>公眾人士可索閱公開說明書的處所</w:t>
      </w:r>
    </w:p>
    <w:p w14:paraId="75BFAC27" w14:textId="77777777" w:rsidR="00836370" w:rsidRPr="006675C9" w:rsidRDefault="00836370" w:rsidP="006675C9">
      <w:pPr>
        <w:pStyle w:val="a6"/>
        <w:snapToGrid w:val="0"/>
        <w:spacing w:line="200" w:lineRule="exact"/>
        <w:ind w:firstLineChars="342" w:firstLine="616"/>
        <w:rPr>
          <w:rFonts w:ascii="Arial" w:hAnsi="Arial" w:cs="Arial"/>
          <w:color w:val="000000" w:themeColor="text1"/>
          <w:sz w:val="18"/>
          <w:szCs w:val="18"/>
        </w:rPr>
      </w:pPr>
      <w:r w:rsidRPr="006675C9">
        <w:rPr>
          <w:rFonts w:ascii="Arial" w:hAnsi="標楷體" w:cs="Arial"/>
          <w:color w:val="000000" w:themeColor="text1"/>
          <w:sz w:val="18"/>
          <w:szCs w:val="18"/>
        </w:rPr>
        <w:t>本公司</w:t>
      </w:r>
      <w:r w:rsidR="0075683E" w:rsidRPr="006675C9">
        <w:rPr>
          <w:rFonts w:ascii="Arial" w:hAnsi="標楷體" w:cs="Arial" w:hint="eastAsia"/>
          <w:color w:val="000000" w:themeColor="text1"/>
          <w:sz w:val="18"/>
          <w:szCs w:val="18"/>
        </w:rPr>
        <w:t>金融商品部</w:t>
      </w:r>
    </w:p>
    <w:p w14:paraId="553C55A5" w14:textId="77777777" w:rsidR="00430FED" w:rsidRPr="006675C9" w:rsidRDefault="0075683E" w:rsidP="006675C9">
      <w:pPr>
        <w:pStyle w:val="a6"/>
        <w:snapToGrid w:val="0"/>
        <w:spacing w:line="200" w:lineRule="exact"/>
        <w:ind w:firstLineChars="342" w:firstLine="616"/>
        <w:rPr>
          <w:rFonts w:ascii="Arial" w:hAnsi="標楷體" w:cs="Arial"/>
          <w:color w:val="000000" w:themeColor="text1"/>
          <w:sz w:val="18"/>
          <w:szCs w:val="18"/>
        </w:rPr>
      </w:pPr>
      <w:r w:rsidRPr="006675C9">
        <w:rPr>
          <w:rFonts w:ascii="Arial" w:hAnsi="Arial" w:cs="Arial" w:hint="eastAsia"/>
          <w:color w:val="000000" w:themeColor="text1"/>
          <w:sz w:val="18"/>
          <w:szCs w:val="18"/>
        </w:rPr>
        <w:t>及</w:t>
      </w:r>
      <w:r w:rsidR="00430FED" w:rsidRPr="006675C9">
        <w:rPr>
          <w:rFonts w:ascii="Arial" w:hAnsi="Arial" w:cs="Arial" w:hint="eastAsia"/>
          <w:color w:val="000000" w:themeColor="text1"/>
          <w:sz w:val="18"/>
          <w:szCs w:val="18"/>
        </w:rPr>
        <w:t>投資人得於公開資訊觀測站查詢公開銷售說明書電子檔</w:t>
      </w:r>
    </w:p>
    <w:p w14:paraId="06AE6FFD" w14:textId="77777777" w:rsidR="00836370" w:rsidRPr="006675C9" w:rsidRDefault="00836370" w:rsidP="006675C9">
      <w:pPr>
        <w:numPr>
          <w:ilvl w:val="0"/>
          <w:numId w:val="3"/>
        </w:numPr>
        <w:snapToGrid w:val="0"/>
        <w:spacing w:line="200" w:lineRule="exact"/>
        <w:rPr>
          <w:rFonts w:ascii="Arial" w:eastAsia="標楷體" w:hAnsi="Arial" w:cs="Arial"/>
          <w:color w:val="000000" w:themeColor="text1"/>
          <w:sz w:val="18"/>
          <w:szCs w:val="18"/>
        </w:rPr>
      </w:pPr>
      <w:r w:rsidRPr="006675C9">
        <w:rPr>
          <w:rFonts w:ascii="Arial" w:eastAsia="標楷體" w:hAnsi="標楷體" w:cs="Arial"/>
          <w:color w:val="000000" w:themeColor="text1"/>
          <w:sz w:val="18"/>
          <w:szCs w:val="18"/>
        </w:rPr>
        <w:t>刊</w:t>
      </w:r>
      <w:r w:rsidRPr="006675C9">
        <w:rPr>
          <w:rFonts w:ascii="Arial" w:eastAsia="標楷體" w:hAnsi="標楷體" w:cs="Arial"/>
          <w:b/>
          <w:color w:val="000000" w:themeColor="text1"/>
          <w:sz w:val="18"/>
          <w:szCs w:val="18"/>
        </w:rPr>
        <w:t>登</w:t>
      </w:r>
      <w:r w:rsidR="0020197A" w:rsidRPr="006675C9">
        <w:rPr>
          <w:rFonts w:ascii="Arial" w:eastAsia="標楷體" w:hAnsi="標楷體" w:cs="Arial"/>
          <w:b/>
          <w:color w:val="000000" w:themeColor="text1"/>
          <w:sz w:val="18"/>
          <w:szCs w:val="18"/>
        </w:rPr>
        <w:t>上櫃</w:t>
      </w:r>
      <w:r w:rsidRPr="006675C9">
        <w:rPr>
          <w:rFonts w:ascii="Arial" w:eastAsia="標楷體" w:hAnsi="標楷體" w:cs="Arial"/>
          <w:b/>
          <w:color w:val="000000" w:themeColor="text1"/>
          <w:sz w:val="18"/>
          <w:szCs w:val="18"/>
        </w:rPr>
        <w:t>公告日期：</w:t>
      </w:r>
      <w:r w:rsidR="00F45FE2" w:rsidRPr="006675C9">
        <w:rPr>
          <w:rFonts w:ascii="Arial" w:eastAsia="標楷體" w:hAnsi="標楷體" w:cs="Arial" w:hint="eastAsia"/>
          <w:b/>
          <w:color w:val="000000" w:themeColor="text1"/>
          <w:sz w:val="18"/>
          <w:szCs w:val="18"/>
        </w:rPr>
        <w:t>中華民國</w:t>
      </w:r>
      <w:proofErr w:type="spellStart"/>
      <w:proofErr w:type="spellEnd"/>
      <w:r>
        <w:rPr>
          <w:rFonts w:ascii="Arial" w:eastAsia="標楷體" w:hAnsi="Arial" w:cs="Arial" w:hint="eastAsia"/>
          <w:b/>
          <w:color w:val="000000" w:themeColor="text1"/>
          <w:sz w:val="18"/>
          <w:szCs w:val="18"/>
        </w:rPr>
        <w:t>114年11月14日</w:t>
      </w:r>
      <w:r w:rsidR="00311EAD" w:rsidRPr="006675C9">
        <w:rPr>
          <w:rFonts w:ascii="Arial" w:eastAsia="標楷體" w:hAnsi="Arial" w:cs="Arial"/>
          <w:color w:val="000000" w:themeColor="text1"/>
          <w:sz w:val="18"/>
          <w:szCs w:val="18"/>
        </w:rPr>
        <w:t xml:space="preserve"> </w:t>
      </w:r>
    </w:p>
    <w:p w14:paraId="6D0AF69A" w14:textId="77777777" w:rsidR="00836370" w:rsidRPr="006675C9" w:rsidRDefault="00836370" w:rsidP="006675C9">
      <w:pPr>
        <w:numPr>
          <w:ilvl w:val="0"/>
          <w:numId w:val="3"/>
        </w:numPr>
        <w:snapToGrid w:val="0"/>
        <w:spacing w:line="200" w:lineRule="exact"/>
        <w:rPr>
          <w:rFonts w:ascii="Arial" w:eastAsia="標楷體" w:hAnsi="Arial" w:cs="Arial"/>
          <w:color w:val="000000" w:themeColor="text1"/>
          <w:sz w:val="18"/>
          <w:szCs w:val="18"/>
        </w:rPr>
      </w:pPr>
      <w:r w:rsidRPr="006675C9">
        <w:rPr>
          <w:rFonts w:ascii="Arial" w:eastAsia="標楷體" w:hAnsi="標楷體" w:cs="Arial"/>
          <w:b/>
          <w:color w:val="000000" w:themeColor="text1"/>
          <w:sz w:val="18"/>
          <w:szCs w:val="18"/>
        </w:rPr>
        <w:t>認購</w:t>
      </w:r>
      <w:r w:rsidRPr="006675C9">
        <w:rPr>
          <w:rFonts w:ascii="Arial" w:eastAsia="標楷體" w:hAnsi="Arial" w:cs="Arial"/>
          <w:b/>
          <w:color w:val="000000" w:themeColor="text1"/>
          <w:sz w:val="18"/>
          <w:szCs w:val="18"/>
        </w:rPr>
        <w:t>(</w:t>
      </w:r>
      <w:r w:rsidRPr="006675C9">
        <w:rPr>
          <w:rFonts w:ascii="Arial" w:eastAsia="標楷體" w:hAnsi="標楷體" w:cs="Arial"/>
          <w:b/>
          <w:color w:val="000000" w:themeColor="text1"/>
          <w:sz w:val="18"/>
          <w:szCs w:val="18"/>
        </w:rPr>
        <w:t>售</w:t>
      </w:r>
      <w:r w:rsidRPr="006675C9">
        <w:rPr>
          <w:rFonts w:ascii="Arial" w:eastAsia="標楷體" w:hAnsi="Arial" w:cs="Arial"/>
          <w:b/>
          <w:color w:val="000000" w:themeColor="text1"/>
          <w:sz w:val="18"/>
          <w:szCs w:val="18"/>
        </w:rPr>
        <w:t>)</w:t>
      </w:r>
      <w:r w:rsidRPr="006675C9">
        <w:rPr>
          <w:rFonts w:ascii="Arial" w:eastAsia="標楷體" w:hAnsi="標楷體" w:cs="Arial"/>
          <w:b/>
          <w:color w:val="000000" w:themeColor="text1"/>
          <w:sz w:val="18"/>
          <w:szCs w:val="18"/>
        </w:rPr>
        <w:t>權證</w:t>
      </w:r>
      <w:r w:rsidR="0020197A" w:rsidRPr="006675C9">
        <w:rPr>
          <w:rFonts w:ascii="Arial" w:eastAsia="標楷體" w:hAnsi="標楷體" w:cs="Arial"/>
          <w:b/>
          <w:color w:val="000000" w:themeColor="text1"/>
          <w:sz w:val="18"/>
          <w:szCs w:val="18"/>
        </w:rPr>
        <w:t>上櫃</w:t>
      </w:r>
      <w:r w:rsidRPr="006675C9">
        <w:rPr>
          <w:rFonts w:ascii="Arial" w:eastAsia="標楷體" w:hAnsi="標楷體" w:cs="Arial"/>
          <w:b/>
          <w:color w:val="000000" w:themeColor="text1"/>
          <w:sz w:val="18"/>
          <w:szCs w:val="18"/>
        </w:rPr>
        <w:t>買賣日期：預定</w:t>
      </w:r>
      <w:r w:rsidR="00F45FE2" w:rsidRPr="006675C9">
        <w:rPr>
          <w:rFonts w:ascii="Arial" w:eastAsia="標楷體" w:hAnsi="標楷體" w:cs="Arial"/>
          <w:b/>
          <w:color w:val="000000" w:themeColor="text1"/>
          <w:sz w:val="18"/>
          <w:szCs w:val="18"/>
        </w:rPr>
        <w:t>中華民國</w:t>
      </w:r>
      <w:proofErr w:type="spellStart"/>
      <w:proofErr w:type="spellEnd"/>
      <w:r>
        <w:rPr>
          <w:rFonts w:ascii="Arial" w:eastAsia="標楷體" w:hAnsi="Arial" w:cs="Arial" w:hint="eastAsia"/>
          <w:b/>
          <w:color w:val="000000" w:themeColor="text1"/>
          <w:sz w:val="18"/>
          <w:szCs w:val="18"/>
        </w:rPr>
        <w:t>114年11月18日</w:t>
      </w:r>
    </w:p>
    <w:p w14:paraId="58A36CE7" w14:textId="77777777" w:rsidR="00F36AF7" w:rsidRPr="006675C9" w:rsidRDefault="00F36AF7" w:rsidP="006675C9">
      <w:pPr>
        <w:pStyle w:val="a6"/>
        <w:snapToGrid w:val="0"/>
        <w:spacing w:line="200" w:lineRule="exact"/>
        <w:ind w:left="360"/>
        <w:rPr>
          <w:rFonts w:ascii="Arial" w:hAnsi="Arial" w:cs="Arial"/>
          <w:color w:val="000000" w:themeColor="text1"/>
          <w:sz w:val="18"/>
          <w:szCs w:val="18"/>
        </w:rPr>
      </w:pPr>
    </w:p>
    <w:p w14:paraId="1095B69C" w14:textId="77777777" w:rsidR="0029581C" w:rsidRPr="00886D70" w:rsidRDefault="0029581C" w:rsidP="00886D70">
      <w:pPr>
        <w:spacing w:line="200" w:lineRule="exact"/>
        <w:rPr>
          <w:rFonts w:ascii="Arial" w:eastAsia="標楷體" w:hAnsi="Arial" w:cs="Arial"/>
          <w:color w:val="000000" w:themeColor="text1"/>
          <w:sz w:val="14"/>
          <w:szCs w:val="14"/>
        </w:rPr>
      </w:pPr>
    </w:p>
    <w:sectPr w:rsidR="0029581C" w:rsidRPr="00886D70" w:rsidSect="0044691D">
      <w:headerReference w:type="default" r:id="rId8"/>
      <w:type w:val="continuous"/>
      <w:pgSz w:w="11906" w:h="16838" w:code="9"/>
      <w:pgMar w:top="163" w:right="352" w:bottom="326" w:left="346" w:header="284" w:footer="284" w:gutter="0"/>
      <w:cols w:space="18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ED714" w14:textId="77777777" w:rsidR="00FB24ED" w:rsidRDefault="00FB24ED">
      <w:r>
        <w:separator/>
      </w:r>
    </w:p>
  </w:endnote>
  <w:endnote w:type="continuationSeparator" w:id="0">
    <w:p w14:paraId="35362666" w14:textId="77777777" w:rsidR="00FB24ED" w:rsidRDefault="00FB2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A5D85" w14:textId="77777777" w:rsidR="00FB24ED" w:rsidRDefault="00FB24ED">
      <w:r>
        <w:separator/>
      </w:r>
    </w:p>
  </w:footnote>
  <w:footnote w:type="continuationSeparator" w:id="0">
    <w:p w14:paraId="023B0F5F" w14:textId="77777777" w:rsidR="00FB24ED" w:rsidRDefault="00FB24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68A478" w14:textId="77777777" w:rsidR="006A2398" w:rsidRDefault="006A2398">
    <w:pPr>
      <w:spacing w:line="160" w:lineRule="atLeast"/>
      <w:jc w:val="center"/>
      <w:rPr>
        <w:rFonts w:ascii="標楷體" w:eastAsia="標楷體"/>
        <w:b/>
        <w:sz w:val="20"/>
      </w:rPr>
    </w:pPr>
  </w:p>
  <w:p w14:paraId="7E7A6F80" w14:textId="77777777" w:rsidR="006A2398" w:rsidRPr="00886D70" w:rsidRDefault="006A2398">
    <w:pPr>
      <w:spacing w:line="160" w:lineRule="atLeast"/>
      <w:jc w:val="center"/>
      <w:rPr>
        <w:rFonts w:ascii="Arial" w:eastAsia="標楷體" w:hAnsi="Arial" w:cs="Arial"/>
        <w:b/>
        <w:color w:val="000000" w:themeColor="text1"/>
        <w:w w:val="150"/>
        <w:sz w:val="22"/>
        <w:szCs w:val="22"/>
      </w:rPr>
    </w:pPr>
    <w:r w:rsidRPr="00886D70">
      <w:rPr>
        <w:rFonts w:ascii="Arial" w:eastAsia="標楷體" w:hAnsi="標楷體" w:cs="Arial"/>
        <w:b/>
        <w:color w:val="000000" w:themeColor="text1"/>
        <w:w w:val="150"/>
        <w:sz w:val="22"/>
        <w:szCs w:val="22"/>
      </w:rPr>
      <w:t>國</w:t>
    </w:r>
    <w:r w:rsidRPr="00886D70">
      <w:rPr>
        <w:rFonts w:ascii="Arial" w:eastAsia="標楷體" w:hAnsi="Arial" w:cs="Arial"/>
        <w:b/>
        <w:color w:val="000000" w:themeColor="text1"/>
        <w:w w:val="150"/>
        <w:sz w:val="22"/>
        <w:szCs w:val="22"/>
      </w:rPr>
      <w:t xml:space="preserve">  </w:t>
    </w:r>
    <w:r w:rsidRPr="00886D70">
      <w:rPr>
        <w:rFonts w:ascii="Arial" w:eastAsia="標楷體" w:hAnsi="標楷體" w:cs="Arial"/>
        <w:b/>
        <w:color w:val="000000" w:themeColor="text1"/>
        <w:w w:val="150"/>
        <w:sz w:val="22"/>
        <w:szCs w:val="22"/>
      </w:rPr>
      <w:t>泰　綜　合　證　券　股　份　有　限　公　司</w:t>
    </w:r>
  </w:p>
  <w:p w14:paraId="3A146E85" w14:textId="77777777" w:rsidR="006A2398" w:rsidRPr="00886D70" w:rsidRDefault="0044691D" w:rsidP="008C16AC">
    <w:pPr>
      <w:spacing w:afterLines="50" w:after="120" w:line="160" w:lineRule="atLeast"/>
      <w:jc w:val="center"/>
      <w:rPr>
        <w:rFonts w:ascii="Arial" w:eastAsia="標楷體" w:hAnsi="Arial" w:cs="Arial"/>
        <w:b/>
        <w:color w:val="000000" w:themeColor="text1"/>
        <w:w w:val="150"/>
        <w:sz w:val="22"/>
        <w:szCs w:val="22"/>
      </w:rPr>
    </w:pPr>
    <w:r w:rsidRPr="00886D70">
      <w:rPr>
        <w:rFonts w:ascii="標楷體" w:eastAsia="標楷體" w:hAnsi="標楷體" w:cs="Arial"/>
        <w:b/>
        <w:color w:val="000000" w:themeColor="text1"/>
        <w:w w:val="150"/>
        <w:sz w:val="22"/>
        <w:szCs w:val="22"/>
      </w:rPr>
      <w:t xml:space="preserve"> </w:t>
    </w:r>
    <w:proofErr w:type="spellStart"/>
    <w:proofErr w:type="spellEnd"/>
    <w:r>
      <w:rPr>
        <w:rFonts w:ascii="標楷體" w:eastAsia="標楷體" w:hAnsi="標楷體" w:cs="Arial"/>
        <w:b/>
        <w:color w:val="000000" w:themeColor="text1"/>
        <w:w w:val="150"/>
        <w:sz w:val="22"/>
        <w:szCs w:val="22"/>
      </w:rPr>
      <w:t>聖暉工程科技股份有限公司普通股</w:t>
    </w:r>
    <w:r w:rsidR="00F45FE2" w:rsidRPr="00886D70">
      <w:rPr>
        <w:rFonts w:ascii="Arial" w:eastAsia="標楷體" w:hAnsi="標楷體" w:cs="Arial" w:hint="eastAsia"/>
        <w:b/>
        <w:color w:val="000000" w:themeColor="text1"/>
        <w:w w:val="150"/>
        <w:sz w:val="22"/>
        <w:szCs w:val="22"/>
      </w:rPr>
      <w:t>認購權證</w:t>
    </w:r>
    <w:r w:rsidR="006A2398" w:rsidRPr="00886D70">
      <w:rPr>
        <w:rFonts w:ascii="Arial" w:eastAsia="標楷體" w:hAnsi="標楷體" w:cs="Arial"/>
        <w:b/>
        <w:color w:val="000000" w:themeColor="text1"/>
        <w:w w:val="150"/>
        <w:sz w:val="22"/>
        <w:szCs w:val="22"/>
      </w:rPr>
      <w:t>上櫃公告</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A61D0"/>
    <w:multiLevelType w:val="hybridMultilevel"/>
    <w:tmpl w:val="1BE8D76A"/>
    <w:lvl w:ilvl="0" w:tplc="B25C124C">
      <w:start w:val="1"/>
      <w:numFmt w:val="decimal"/>
      <w:lvlText w:val="%1."/>
      <w:lvlJc w:val="left"/>
      <w:pPr>
        <w:tabs>
          <w:tab w:val="num" w:pos="1650"/>
        </w:tabs>
        <w:ind w:left="1650" w:hanging="210"/>
      </w:pPr>
      <w:rPr>
        <w:rFonts w:hint="default"/>
      </w:rPr>
    </w:lvl>
    <w:lvl w:ilvl="1" w:tplc="BF06D2D2">
      <w:start w:val="1"/>
      <w:numFmt w:val="lowerLetter"/>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3C663E9"/>
    <w:multiLevelType w:val="hybridMultilevel"/>
    <w:tmpl w:val="E98C2DB0"/>
    <w:lvl w:ilvl="0" w:tplc="E258E01A">
      <w:start w:val="1"/>
      <w:numFmt w:val="bullet"/>
      <w:lvlText w:val=""/>
      <w:lvlJc w:val="left"/>
      <w:pPr>
        <w:tabs>
          <w:tab w:val="num" w:pos="2160"/>
        </w:tabs>
        <w:ind w:left="2155" w:hanging="355"/>
      </w:pPr>
      <w:rPr>
        <w:rFonts w:ascii="Wingdings" w:hAnsi="Wingdings" w:hint="default"/>
      </w:rPr>
    </w:lvl>
    <w:lvl w:ilvl="1" w:tplc="04090019">
      <w:start w:val="1"/>
      <w:numFmt w:val="ideographTraditional"/>
      <w:lvlText w:val="%2、"/>
      <w:lvlJc w:val="left"/>
      <w:pPr>
        <w:tabs>
          <w:tab w:val="num" w:pos="2760"/>
        </w:tabs>
        <w:ind w:left="2760" w:hanging="480"/>
      </w:pPr>
    </w:lvl>
    <w:lvl w:ilvl="2" w:tplc="0409001B">
      <w:start w:val="1"/>
      <w:numFmt w:val="lowerRoman"/>
      <w:lvlText w:val="%3."/>
      <w:lvlJc w:val="right"/>
      <w:pPr>
        <w:tabs>
          <w:tab w:val="num" w:pos="3240"/>
        </w:tabs>
        <w:ind w:left="3240" w:hanging="480"/>
      </w:pPr>
    </w:lvl>
    <w:lvl w:ilvl="3" w:tplc="0409000F">
      <w:start w:val="1"/>
      <w:numFmt w:val="decimal"/>
      <w:lvlText w:val="%4."/>
      <w:lvlJc w:val="left"/>
      <w:pPr>
        <w:tabs>
          <w:tab w:val="num" w:pos="3720"/>
        </w:tabs>
        <w:ind w:left="3720" w:hanging="480"/>
      </w:pPr>
    </w:lvl>
    <w:lvl w:ilvl="4" w:tplc="04090019">
      <w:start w:val="1"/>
      <w:numFmt w:val="ideographTraditional"/>
      <w:lvlText w:val="%5、"/>
      <w:lvlJc w:val="left"/>
      <w:pPr>
        <w:tabs>
          <w:tab w:val="num" w:pos="4200"/>
        </w:tabs>
        <w:ind w:left="4200" w:hanging="480"/>
      </w:pPr>
    </w:lvl>
    <w:lvl w:ilvl="5" w:tplc="0409001B">
      <w:start w:val="1"/>
      <w:numFmt w:val="lowerRoman"/>
      <w:lvlText w:val="%6."/>
      <w:lvlJc w:val="right"/>
      <w:pPr>
        <w:tabs>
          <w:tab w:val="num" w:pos="4680"/>
        </w:tabs>
        <w:ind w:left="4680" w:hanging="480"/>
      </w:pPr>
    </w:lvl>
    <w:lvl w:ilvl="6" w:tplc="0409000F">
      <w:start w:val="1"/>
      <w:numFmt w:val="decimal"/>
      <w:lvlText w:val="%7."/>
      <w:lvlJc w:val="left"/>
      <w:pPr>
        <w:tabs>
          <w:tab w:val="num" w:pos="5160"/>
        </w:tabs>
        <w:ind w:left="5160" w:hanging="480"/>
      </w:pPr>
    </w:lvl>
    <w:lvl w:ilvl="7" w:tplc="04090019">
      <w:start w:val="1"/>
      <w:numFmt w:val="ideographTraditional"/>
      <w:lvlText w:val="%8、"/>
      <w:lvlJc w:val="left"/>
      <w:pPr>
        <w:tabs>
          <w:tab w:val="num" w:pos="5640"/>
        </w:tabs>
        <w:ind w:left="5640" w:hanging="480"/>
      </w:pPr>
    </w:lvl>
    <w:lvl w:ilvl="8" w:tplc="0409001B">
      <w:start w:val="1"/>
      <w:numFmt w:val="lowerRoman"/>
      <w:lvlText w:val="%9."/>
      <w:lvlJc w:val="right"/>
      <w:pPr>
        <w:tabs>
          <w:tab w:val="num" w:pos="6120"/>
        </w:tabs>
        <w:ind w:left="6120" w:hanging="480"/>
      </w:pPr>
    </w:lvl>
  </w:abstractNum>
  <w:abstractNum w:abstractNumId="2" w15:restartNumberingAfterBreak="0">
    <w:nsid w:val="0965078A"/>
    <w:multiLevelType w:val="singleLevel"/>
    <w:tmpl w:val="B25C124C"/>
    <w:lvl w:ilvl="0">
      <w:start w:val="1"/>
      <w:numFmt w:val="decimal"/>
      <w:lvlText w:val="%1."/>
      <w:lvlJc w:val="left"/>
      <w:pPr>
        <w:tabs>
          <w:tab w:val="num" w:pos="1650"/>
        </w:tabs>
        <w:ind w:left="1650" w:hanging="210"/>
      </w:pPr>
      <w:rPr>
        <w:rFonts w:hint="default"/>
      </w:rPr>
    </w:lvl>
  </w:abstractNum>
  <w:abstractNum w:abstractNumId="3" w15:restartNumberingAfterBreak="0">
    <w:nsid w:val="0DFD491A"/>
    <w:multiLevelType w:val="hybridMultilevel"/>
    <w:tmpl w:val="6AAA944E"/>
    <w:lvl w:ilvl="0" w:tplc="8C76318A">
      <w:start w:val="1"/>
      <w:numFmt w:val="taiwaneseCountingThousand"/>
      <w:lvlText w:val="(%1)"/>
      <w:lvlJc w:val="left"/>
      <w:pPr>
        <w:tabs>
          <w:tab w:val="num" w:pos="540"/>
        </w:tabs>
        <w:ind w:left="540" w:hanging="360"/>
      </w:pPr>
      <w:rPr>
        <w:rFonts w:hint="default"/>
      </w:rPr>
    </w:lvl>
    <w:lvl w:ilvl="1" w:tplc="ECE6EC9A">
      <w:start w:val="1"/>
      <w:numFmt w:val="taiwaneseCountingThousand"/>
      <w:lvlText w:val="(%2)"/>
      <w:lvlJc w:val="left"/>
      <w:pPr>
        <w:tabs>
          <w:tab w:val="num" w:pos="1020"/>
        </w:tabs>
        <w:ind w:left="1020" w:hanging="360"/>
      </w:pPr>
      <w:rPr>
        <w:rFonts w:hint="default"/>
      </w:r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4" w15:restartNumberingAfterBreak="0">
    <w:nsid w:val="1DD4766B"/>
    <w:multiLevelType w:val="hybridMultilevel"/>
    <w:tmpl w:val="44C82584"/>
    <w:lvl w:ilvl="0" w:tplc="937699BA">
      <w:start w:val="1"/>
      <w:numFmt w:val="ideographLegalTraditional"/>
      <w:lvlText w:val="%1、"/>
      <w:lvlJc w:val="left"/>
      <w:pPr>
        <w:tabs>
          <w:tab w:val="num" w:pos="720"/>
        </w:tabs>
        <w:ind w:left="720" w:hanging="720"/>
      </w:pPr>
      <w:rPr>
        <w:rFonts w:hint="eastAsia"/>
      </w:rPr>
    </w:lvl>
    <w:lvl w:ilvl="1" w:tplc="C86EA38C">
      <w:start w:val="1"/>
      <w:numFmt w:val="taiwaneseCountingThousand"/>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E0A2416A">
      <w:start w:val="1"/>
      <w:numFmt w:val="decimal"/>
      <w:lvlText w:val="%4."/>
      <w:lvlJc w:val="left"/>
      <w:pPr>
        <w:tabs>
          <w:tab w:val="num" w:pos="1800"/>
        </w:tabs>
        <w:ind w:left="1800" w:hanging="360"/>
      </w:pPr>
      <w:rPr>
        <w:rFonts w:hint="eastAsia"/>
      </w:rPr>
    </w:lvl>
    <w:lvl w:ilvl="4" w:tplc="C5B653DC">
      <w:start w:val="1"/>
      <w:numFmt w:val="taiwaneseCountingThousand"/>
      <w:lvlText w:val="(%5)"/>
      <w:lvlJc w:val="left"/>
      <w:pPr>
        <w:tabs>
          <w:tab w:val="num" w:pos="2340"/>
        </w:tabs>
        <w:ind w:left="2340" w:hanging="420"/>
      </w:pPr>
      <w:rPr>
        <w:rFonts w:hint="eastAsia"/>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FCF06C7"/>
    <w:multiLevelType w:val="hybridMultilevel"/>
    <w:tmpl w:val="527E3330"/>
    <w:lvl w:ilvl="0" w:tplc="3BA6B94E">
      <w:start w:val="1"/>
      <w:numFmt w:val="decimal"/>
      <w:lvlText w:val="(%1)"/>
      <w:lvlJc w:val="left"/>
      <w:pPr>
        <w:tabs>
          <w:tab w:val="num" w:pos="1995"/>
        </w:tabs>
        <w:ind w:left="1995" w:hanging="31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280490B"/>
    <w:multiLevelType w:val="hybridMultilevel"/>
    <w:tmpl w:val="C5284076"/>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5056B4A"/>
    <w:multiLevelType w:val="hybridMultilevel"/>
    <w:tmpl w:val="A59A90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6037413"/>
    <w:multiLevelType w:val="singleLevel"/>
    <w:tmpl w:val="E30AA2A0"/>
    <w:lvl w:ilvl="0">
      <w:start w:val="1"/>
      <w:numFmt w:val="taiwaneseCountingThousand"/>
      <w:lvlText w:val="(%1)"/>
      <w:lvlJc w:val="left"/>
      <w:pPr>
        <w:tabs>
          <w:tab w:val="num" w:pos="1640"/>
        </w:tabs>
        <w:ind w:left="1640" w:hanging="720"/>
      </w:pPr>
      <w:rPr>
        <w:rFonts w:ascii="標楷體" w:eastAsia="標楷體" w:hAnsi="標楷體" w:hint="eastAsia"/>
        <w:color w:val="auto"/>
        <w:sz w:val="14"/>
        <w:szCs w:val="14"/>
      </w:rPr>
    </w:lvl>
  </w:abstractNum>
  <w:abstractNum w:abstractNumId="9" w15:restartNumberingAfterBreak="0">
    <w:nsid w:val="2E1642BA"/>
    <w:multiLevelType w:val="hybridMultilevel"/>
    <w:tmpl w:val="22EC23D0"/>
    <w:lvl w:ilvl="0" w:tplc="ECE6EC9A">
      <w:start w:val="1"/>
      <w:numFmt w:val="taiwaneseCountingThousand"/>
      <w:lvlText w:val="(%1)"/>
      <w:lvlJc w:val="left"/>
      <w:pPr>
        <w:tabs>
          <w:tab w:val="num" w:pos="541"/>
        </w:tabs>
        <w:ind w:left="541" w:hanging="360"/>
      </w:pPr>
      <w:rPr>
        <w:rFonts w:hint="default"/>
      </w:rPr>
    </w:lvl>
    <w:lvl w:ilvl="1" w:tplc="333876E4">
      <w:start w:val="1"/>
      <w:numFmt w:val="decimal"/>
      <w:lvlText w:val="(%2)"/>
      <w:lvlJc w:val="left"/>
      <w:pPr>
        <w:tabs>
          <w:tab w:val="num" w:pos="1021"/>
        </w:tabs>
        <w:ind w:left="1021" w:hanging="360"/>
      </w:pPr>
      <w:rPr>
        <w:rFonts w:hint="default"/>
      </w:rPr>
    </w:lvl>
    <w:lvl w:ilvl="2" w:tplc="0409001B" w:tentative="1">
      <w:start w:val="1"/>
      <w:numFmt w:val="lowerRoman"/>
      <w:lvlText w:val="%3."/>
      <w:lvlJc w:val="right"/>
      <w:pPr>
        <w:tabs>
          <w:tab w:val="num" w:pos="1621"/>
        </w:tabs>
        <w:ind w:left="1621" w:hanging="480"/>
      </w:pPr>
    </w:lvl>
    <w:lvl w:ilvl="3" w:tplc="0409000F" w:tentative="1">
      <w:start w:val="1"/>
      <w:numFmt w:val="decimal"/>
      <w:lvlText w:val="%4."/>
      <w:lvlJc w:val="left"/>
      <w:pPr>
        <w:tabs>
          <w:tab w:val="num" w:pos="2101"/>
        </w:tabs>
        <w:ind w:left="2101" w:hanging="480"/>
      </w:pPr>
    </w:lvl>
    <w:lvl w:ilvl="4" w:tplc="04090019" w:tentative="1">
      <w:start w:val="1"/>
      <w:numFmt w:val="ideographTraditional"/>
      <w:lvlText w:val="%5、"/>
      <w:lvlJc w:val="left"/>
      <w:pPr>
        <w:tabs>
          <w:tab w:val="num" w:pos="2581"/>
        </w:tabs>
        <w:ind w:left="2581" w:hanging="480"/>
      </w:pPr>
    </w:lvl>
    <w:lvl w:ilvl="5" w:tplc="0409001B" w:tentative="1">
      <w:start w:val="1"/>
      <w:numFmt w:val="lowerRoman"/>
      <w:lvlText w:val="%6."/>
      <w:lvlJc w:val="right"/>
      <w:pPr>
        <w:tabs>
          <w:tab w:val="num" w:pos="3061"/>
        </w:tabs>
        <w:ind w:left="3061" w:hanging="480"/>
      </w:pPr>
    </w:lvl>
    <w:lvl w:ilvl="6" w:tplc="0409000F" w:tentative="1">
      <w:start w:val="1"/>
      <w:numFmt w:val="decimal"/>
      <w:lvlText w:val="%7."/>
      <w:lvlJc w:val="left"/>
      <w:pPr>
        <w:tabs>
          <w:tab w:val="num" w:pos="3541"/>
        </w:tabs>
        <w:ind w:left="3541" w:hanging="480"/>
      </w:pPr>
    </w:lvl>
    <w:lvl w:ilvl="7" w:tplc="04090019" w:tentative="1">
      <w:start w:val="1"/>
      <w:numFmt w:val="ideographTraditional"/>
      <w:lvlText w:val="%8、"/>
      <w:lvlJc w:val="left"/>
      <w:pPr>
        <w:tabs>
          <w:tab w:val="num" w:pos="4021"/>
        </w:tabs>
        <w:ind w:left="4021" w:hanging="480"/>
      </w:pPr>
    </w:lvl>
    <w:lvl w:ilvl="8" w:tplc="0409001B" w:tentative="1">
      <w:start w:val="1"/>
      <w:numFmt w:val="lowerRoman"/>
      <w:lvlText w:val="%9."/>
      <w:lvlJc w:val="right"/>
      <w:pPr>
        <w:tabs>
          <w:tab w:val="num" w:pos="4501"/>
        </w:tabs>
        <w:ind w:left="4501" w:hanging="480"/>
      </w:pPr>
    </w:lvl>
  </w:abstractNum>
  <w:abstractNum w:abstractNumId="10" w15:restartNumberingAfterBreak="0">
    <w:nsid w:val="2F2017A3"/>
    <w:multiLevelType w:val="hybridMultilevel"/>
    <w:tmpl w:val="E28EDF32"/>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02369A6"/>
    <w:multiLevelType w:val="hybridMultilevel"/>
    <w:tmpl w:val="C4B27270"/>
    <w:lvl w:ilvl="0" w:tplc="F51CBDA4">
      <w:start w:val="1"/>
      <w:numFmt w:val="taiwaneseCountingThousand"/>
      <w:lvlText w:val="(%1)"/>
      <w:lvlJc w:val="left"/>
      <w:pPr>
        <w:tabs>
          <w:tab w:val="num" w:pos="0"/>
        </w:tabs>
        <w:ind w:left="234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A410071"/>
    <w:multiLevelType w:val="singleLevel"/>
    <w:tmpl w:val="3BA6B94E"/>
    <w:lvl w:ilvl="0">
      <w:start w:val="1"/>
      <w:numFmt w:val="decimal"/>
      <w:lvlText w:val="(%1)"/>
      <w:lvlJc w:val="left"/>
      <w:pPr>
        <w:tabs>
          <w:tab w:val="num" w:pos="1995"/>
        </w:tabs>
        <w:ind w:left="1995" w:hanging="315"/>
      </w:pPr>
      <w:rPr>
        <w:rFonts w:hint="default"/>
      </w:rPr>
    </w:lvl>
  </w:abstractNum>
  <w:abstractNum w:abstractNumId="13" w15:restartNumberingAfterBreak="0">
    <w:nsid w:val="54C008F9"/>
    <w:multiLevelType w:val="hybridMultilevel"/>
    <w:tmpl w:val="DC66B3AC"/>
    <w:lvl w:ilvl="0" w:tplc="B25C124C">
      <w:start w:val="1"/>
      <w:numFmt w:val="decimal"/>
      <w:lvlText w:val="%1."/>
      <w:lvlJc w:val="left"/>
      <w:pPr>
        <w:tabs>
          <w:tab w:val="num" w:pos="1650"/>
        </w:tabs>
        <w:ind w:left="1650" w:hanging="21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3E627AB"/>
    <w:multiLevelType w:val="hybridMultilevel"/>
    <w:tmpl w:val="2A0A1EE2"/>
    <w:lvl w:ilvl="0" w:tplc="22DA8A5E">
      <w:start w:val="1"/>
      <w:numFmt w:val="taiwaneseCountingThousand"/>
      <w:lvlText w:val="(%1)"/>
      <w:lvlJc w:val="left"/>
      <w:pPr>
        <w:tabs>
          <w:tab w:val="num" w:pos="1440"/>
        </w:tabs>
        <w:ind w:left="1440" w:hanging="480"/>
      </w:pPr>
      <w:rPr>
        <w:rFonts w:hint="eastAsia"/>
      </w:rPr>
    </w:lvl>
    <w:lvl w:ilvl="1" w:tplc="27E26EF8">
      <w:start w:val="1"/>
      <w:numFmt w:val="decimal"/>
      <w:lvlText w:val="%2."/>
      <w:lvlJc w:val="left"/>
      <w:pPr>
        <w:tabs>
          <w:tab w:val="num" w:pos="-480"/>
        </w:tabs>
        <w:ind w:left="660" w:hanging="180"/>
      </w:pPr>
      <w:rPr>
        <w:rFonts w:ascii="Arial" w:eastAsia="標楷體" w:hAnsi="Arial" w:cs="Arial" w:hint="default"/>
        <w:b w:val="0"/>
        <w:i w:val="0"/>
        <w:color w:val="000000"/>
        <w:sz w:val="14"/>
        <w:szCs w:val="14"/>
        <w:u w:val="none"/>
      </w:rPr>
    </w:lvl>
    <w:lvl w:ilvl="2" w:tplc="5F56F052">
      <w:start w:val="1"/>
      <w:numFmt w:val="decimal"/>
      <w:lvlText w:val="（%3）"/>
      <w:lvlJc w:val="left"/>
      <w:pPr>
        <w:tabs>
          <w:tab w:val="num" w:pos="1320"/>
        </w:tabs>
        <w:ind w:left="1320" w:hanging="360"/>
      </w:pPr>
      <w:rPr>
        <w:rFonts w:hAnsi="標楷體"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230728E"/>
    <w:multiLevelType w:val="hybridMultilevel"/>
    <w:tmpl w:val="6602B188"/>
    <w:lvl w:ilvl="0" w:tplc="D4DED5A0">
      <w:start w:val="1"/>
      <w:numFmt w:val="taiwaneseCountingThousand"/>
      <w:lvlText w:val="%1、"/>
      <w:lvlJc w:val="left"/>
      <w:pPr>
        <w:tabs>
          <w:tab w:val="num" w:pos="482"/>
        </w:tabs>
        <w:ind w:left="482" w:hanging="482"/>
      </w:pPr>
      <w:rPr>
        <w:rFonts w:ascii="標楷體" w:eastAsia="標楷體" w:hint="eastAsia"/>
        <w:b w:val="0"/>
        <w:i w:val="0"/>
        <w:color w:val="000000"/>
        <w:sz w:val="14"/>
        <w:szCs w:val="14"/>
        <w:lang w:val="en-US"/>
      </w:rPr>
    </w:lvl>
    <w:lvl w:ilvl="1" w:tplc="0409000F">
      <w:start w:val="1"/>
      <w:numFmt w:val="decimal"/>
      <w:lvlText w:val="%2."/>
      <w:lvlJc w:val="left"/>
      <w:pPr>
        <w:tabs>
          <w:tab w:val="num" w:pos="960"/>
        </w:tabs>
        <w:ind w:left="960" w:hanging="480"/>
      </w:pPr>
      <w:rPr>
        <w:rFonts w:hint="eastAsia"/>
        <w:b w:val="0"/>
        <w:i w:val="0"/>
        <w:color w:val="000000"/>
        <w:sz w:val="14"/>
        <w:szCs w:val="14"/>
        <w:lang w:val="en-US"/>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7C424CB2"/>
    <w:multiLevelType w:val="hybridMultilevel"/>
    <w:tmpl w:val="30360E2C"/>
    <w:lvl w:ilvl="0" w:tplc="B25C124C">
      <w:start w:val="1"/>
      <w:numFmt w:val="decimal"/>
      <w:lvlText w:val="%1."/>
      <w:lvlJc w:val="left"/>
      <w:pPr>
        <w:tabs>
          <w:tab w:val="num" w:pos="1770"/>
        </w:tabs>
        <w:ind w:left="1770" w:hanging="210"/>
      </w:pPr>
      <w:rPr>
        <w:rFonts w:hint="default"/>
      </w:rPr>
    </w:lvl>
    <w:lvl w:ilvl="1" w:tplc="04090019" w:tentative="1">
      <w:start w:val="1"/>
      <w:numFmt w:val="ideographTraditional"/>
      <w:lvlText w:val="%2、"/>
      <w:lvlJc w:val="left"/>
      <w:pPr>
        <w:tabs>
          <w:tab w:val="num" w:pos="1080"/>
        </w:tabs>
        <w:ind w:left="1080" w:hanging="480"/>
      </w:pPr>
    </w:lvl>
    <w:lvl w:ilvl="2" w:tplc="0409001B" w:tentative="1">
      <w:start w:val="1"/>
      <w:numFmt w:val="lowerRoman"/>
      <w:lvlText w:val="%3."/>
      <w:lvlJc w:val="right"/>
      <w:pPr>
        <w:tabs>
          <w:tab w:val="num" w:pos="1560"/>
        </w:tabs>
        <w:ind w:left="1560" w:hanging="480"/>
      </w:pPr>
    </w:lvl>
    <w:lvl w:ilvl="3" w:tplc="0409000F" w:tentative="1">
      <w:start w:val="1"/>
      <w:numFmt w:val="decimal"/>
      <w:lvlText w:val="%4."/>
      <w:lvlJc w:val="left"/>
      <w:pPr>
        <w:tabs>
          <w:tab w:val="num" w:pos="2040"/>
        </w:tabs>
        <w:ind w:left="2040" w:hanging="480"/>
      </w:pPr>
    </w:lvl>
    <w:lvl w:ilvl="4" w:tplc="04090019" w:tentative="1">
      <w:start w:val="1"/>
      <w:numFmt w:val="ideographTraditional"/>
      <w:lvlText w:val="%5、"/>
      <w:lvlJc w:val="left"/>
      <w:pPr>
        <w:tabs>
          <w:tab w:val="num" w:pos="2520"/>
        </w:tabs>
        <w:ind w:left="2520" w:hanging="480"/>
      </w:pPr>
    </w:lvl>
    <w:lvl w:ilvl="5" w:tplc="0409001B" w:tentative="1">
      <w:start w:val="1"/>
      <w:numFmt w:val="lowerRoman"/>
      <w:lvlText w:val="%6."/>
      <w:lvlJc w:val="right"/>
      <w:pPr>
        <w:tabs>
          <w:tab w:val="num" w:pos="3000"/>
        </w:tabs>
        <w:ind w:left="3000" w:hanging="480"/>
      </w:pPr>
    </w:lvl>
    <w:lvl w:ilvl="6" w:tplc="0409000F" w:tentative="1">
      <w:start w:val="1"/>
      <w:numFmt w:val="decimal"/>
      <w:lvlText w:val="%7."/>
      <w:lvlJc w:val="left"/>
      <w:pPr>
        <w:tabs>
          <w:tab w:val="num" w:pos="3480"/>
        </w:tabs>
        <w:ind w:left="3480" w:hanging="480"/>
      </w:pPr>
    </w:lvl>
    <w:lvl w:ilvl="7" w:tplc="04090019" w:tentative="1">
      <w:start w:val="1"/>
      <w:numFmt w:val="ideographTraditional"/>
      <w:lvlText w:val="%8、"/>
      <w:lvlJc w:val="left"/>
      <w:pPr>
        <w:tabs>
          <w:tab w:val="num" w:pos="3960"/>
        </w:tabs>
        <w:ind w:left="3960" w:hanging="480"/>
      </w:pPr>
    </w:lvl>
    <w:lvl w:ilvl="8" w:tplc="0409001B" w:tentative="1">
      <w:start w:val="1"/>
      <w:numFmt w:val="lowerRoman"/>
      <w:lvlText w:val="%9."/>
      <w:lvlJc w:val="right"/>
      <w:pPr>
        <w:tabs>
          <w:tab w:val="num" w:pos="4440"/>
        </w:tabs>
        <w:ind w:left="4440" w:hanging="480"/>
      </w:pPr>
    </w:lvl>
  </w:abstractNum>
  <w:num w:numId="1" w16cid:durableId="400099973">
    <w:abstractNumId w:val="12"/>
  </w:num>
  <w:num w:numId="2" w16cid:durableId="1247807607">
    <w:abstractNumId w:val="8"/>
  </w:num>
  <w:num w:numId="3" w16cid:durableId="1682514640">
    <w:abstractNumId w:val="15"/>
  </w:num>
  <w:num w:numId="4" w16cid:durableId="188378851">
    <w:abstractNumId w:val="4"/>
  </w:num>
  <w:num w:numId="5" w16cid:durableId="749158364">
    <w:abstractNumId w:val="9"/>
  </w:num>
  <w:num w:numId="6" w16cid:durableId="196700725">
    <w:abstractNumId w:val="3"/>
  </w:num>
  <w:num w:numId="7" w16cid:durableId="1652635178">
    <w:abstractNumId w:val="14"/>
  </w:num>
  <w:num w:numId="8" w16cid:durableId="1995378862">
    <w:abstractNumId w:val="6"/>
  </w:num>
  <w:num w:numId="9" w16cid:durableId="801583353">
    <w:abstractNumId w:val="16"/>
  </w:num>
  <w:num w:numId="10" w16cid:durableId="1851795068">
    <w:abstractNumId w:val="10"/>
  </w:num>
  <w:num w:numId="11" w16cid:durableId="1852916088">
    <w:abstractNumId w:val="13"/>
  </w:num>
  <w:num w:numId="12" w16cid:durableId="946624206">
    <w:abstractNumId w:val="11"/>
  </w:num>
  <w:num w:numId="13" w16cid:durableId="1737126507">
    <w:abstractNumId w:val="0"/>
  </w:num>
  <w:num w:numId="14" w16cid:durableId="908151692">
    <w:abstractNumId w:val="5"/>
  </w:num>
  <w:num w:numId="15" w16cid:durableId="1019895503">
    <w:abstractNumId w:val="2"/>
  </w:num>
  <w:num w:numId="16" w16cid:durableId="2002926572">
    <w:abstractNumId w:val="7"/>
  </w:num>
  <w:num w:numId="17" w16cid:durableId="351036920">
    <w:abstractNumId w:val="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120"/>
  <w:drawingGridVerticalSpacing w:val="163"/>
  <w:displayHorizontalDrawingGridEvery w:val="0"/>
  <w:displayVerticalDrawingGridEvery w:val="2"/>
  <w:characterSpacingControl w:val="compressPunctuation"/>
  <w:noLineBreaksAfter w:lang="zh-TW" w:val="([{‘“‵〈《「『【〔〝︵︷︹︻︽︿﹁﹃﹙﹛﹝（｛"/>
  <w:noLineBreaksBefore w:lang="zh-TW" w:va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62D"/>
    <w:rsid w:val="00007DDC"/>
    <w:rsid w:val="00011752"/>
    <w:rsid w:val="00030B01"/>
    <w:rsid w:val="000470BA"/>
    <w:rsid w:val="000549E0"/>
    <w:rsid w:val="00056429"/>
    <w:rsid w:val="000638F9"/>
    <w:rsid w:val="0006752B"/>
    <w:rsid w:val="00067E71"/>
    <w:rsid w:val="00070494"/>
    <w:rsid w:val="00073D2D"/>
    <w:rsid w:val="00074829"/>
    <w:rsid w:val="000768ED"/>
    <w:rsid w:val="00080556"/>
    <w:rsid w:val="00084CA8"/>
    <w:rsid w:val="00086060"/>
    <w:rsid w:val="00086316"/>
    <w:rsid w:val="00086B59"/>
    <w:rsid w:val="000877FB"/>
    <w:rsid w:val="00087BF1"/>
    <w:rsid w:val="00087E84"/>
    <w:rsid w:val="00090F0F"/>
    <w:rsid w:val="0009258A"/>
    <w:rsid w:val="00095107"/>
    <w:rsid w:val="00096D24"/>
    <w:rsid w:val="000A1992"/>
    <w:rsid w:val="000B259C"/>
    <w:rsid w:val="000C4482"/>
    <w:rsid w:val="000C556A"/>
    <w:rsid w:val="000D0F64"/>
    <w:rsid w:val="000D6EA7"/>
    <w:rsid w:val="000E1C05"/>
    <w:rsid w:val="000E5626"/>
    <w:rsid w:val="000E7FE7"/>
    <w:rsid w:val="000F03F0"/>
    <w:rsid w:val="000F5F06"/>
    <w:rsid w:val="00102671"/>
    <w:rsid w:val="0010356A"/>
    <w:rsid w:val="0011294E"/>
    <w:rsid w:val="00126DF6"/>
    <w:rsid w:val="00130B20"/>
    <w:rsid w:val="00131F88"/>
    <w:rsid w:val="0013322A"/>
    <w:rsid w:val="00133ABA"/>
    <w:rsid w:val="001346C9"/>
    <w:rsid w:val="00135490"/>
    <w:rsid w:val="001377DD"/>
    <w:rsid w:val="0014155D"/>
    <w:rsid w:val="00145241"/>
    <w:rsid w:val="00153965"/>
    <w:rsid w:val="00153E45"/>
    <w:rsid w:val="001653B1"/>
    <w:rsid w:val="0016540D"/>
    <w:rsid w:val="001662B6"/>
    <w:rsid w:val="001664A7"/>
    <w:rsid w:val="00166A0E"/>
    <w:rsid w:val="00172FC0"/>
    <w:rsid w:val="00173E05"/>
    <w:rsid w:val="00176F06"/>
    <w:rsid w:val="0017780A"/>
    <w:rsid w:val="0018021A"/>
    <w:rsid w:val="00181D28"/>
    <w:rsid w:val="00184FDA"/>
    <w:rsid w:val="00185EA8"/>
    <w:rsid w:val="0018673E"/>
    <w:rsid w:val="00186977"/>
    <w:rsid w:val="00186BCB"/>
    <w:rsid w:val="00186CD5"/>
    <w:rsid w:val="001A0A61"/>
    <w:rsid w:val="001A11D9"/>
    <w:rsid w:val="001A5B78"/>
    <w:rsid w:val="001B07FB"/>
    <w:rsid w:val="001C0DDE"/>
    <w:rsid w:val="001C79AD"/>
    <w:rsid w:val="001D3265"/>
    <w:rsid w:val="001D409A"/>
    <w:rsid w:val="001D4FE5"/>
    <w:rsid w:val="001E1DAE"/>
    <w:rsid w:val="001E22CF"/>
    <w:rsid w:val="001E35CB"/>
    <w:rsid w:val="001E47BF"/>
    <w:rsid w:val="001E73C9"/>
    <w:rsid w:val="00200452"/>
    <w:rsid w:val="0020197A"/>
    <w:rsid w:val="00211C2F"/>
    <w:rsid w:val="0021457D"/>
    <w:rsid w:val="002212A1"/>
    <w:rsid w:val="00224894"/>
    <w:rsid w:val="002274EC"/>
    <w:rsid w:val="002330BB"/>
    <w:rsid w:val="00243709"/>
    <w:rsid w:val="00245FEB"/>
    <w:rsid w:val="00251687"/>
    <w:rsid w:val="0025233E"/>
    <w:rsid w:val="00255195"/>
    <w:rsid w:val="00256529"/>
    <w:rsid w:val="00260FEE"/>
    <w:rsid w:val="00264998"/>
    <w:rsid w:val="00265126"/>
    <w:rsid w:val="00265D58"/>
    <w:rsid w:val="002673F9"/>
    <w:rsid w:val="00270118"/>
    <w:rsid w:val="00270A8D"/>
    <w:rsid w:val="002724A2"/>
    <w:rsid w:val="00272ABE"/>
    <w:rsid w:val="00272DE6"/>
    <w:rsid w:val="002736E0"/>
    <w:rsid w:val="00273E04"/>
    <w:rsid w:val="002750A2"/>
    <w:rsid w:val="00276307"/>
    <w:rsid w:val="0028574D"/>
    <w:rsid w:val="00290E99"/>
    <w:rsid w:val="00293298"/>
    <w:rsid w:val="00294E9A"/>
    <w:rsid w:val="0029581C"/>
    <w:rsid w:val="00296620"/>
    <w:rsid w:val="002A2469"/>
    <w:rsid w:val="002A29F9"/>
    <w:rsid w:val="002A31DD"/>
    <w:rsid w:val="002A3CF0"/>
    <w:rsid w:val="002A48BA"/>
    <w:rsid w:val="002B2BFE"/>
    <w:rsid w:val="002B4ABB"/>
    <w:rsid w:val="002B7BEE"/>
    <w:rsid w:val="002C1386"/>
    <w:rsid w:val="002C16FB"/>
    <w:rsid w:val="002C27F5"/>
    <w:rsid w:val="002C594B"/>
    <w:rsid w:val="002D220E"/>
    <w:rsid w:val="002D43EF"/>
    <w:rsid w:val="002D44F8"/>
    <w:rsid w:val="002D4EB1"/>
    <w:rsid w:val="002D6636"/>
    <w:rsid w:val="002D6E9F"/>
    <w:rsid w:val="002E3AB0"/>
    <w:rsid w:val="002F0510"/>
    <w:rsid w:val="002F05E0"/>
    <w:rsid w:val="002F2308"/>
    <w:rsid w:val="002F60CC"/>
    <w:rsid w:val="00302CAC"/>
    <w:rsid w:val="00311EAD"/>
    <w:rsid w:val="003156C7"/>
    <w:rsid w:val="00316FFB"/>
    <w:rsid w:val="003177A6"/>
    <w:rsid w:val="003200EF"/>
    <w:rsid w:val="0032057F"/>
    <w:rsid w:val="00320F62"/>
    <w:rsid w:val="00321690"/>
    <w:rsid w:val="00323985"/>
    <w:rsid w:val="00325C0B"/>
    <w:rsid w:val="00333D1F"/>
    <w:rsid w:val="0034091F"/>
    <w:rsid w:val="003456FE"/>
    <w:rsid w:val="00345CAD"/>
    <w:rsid w:val="003508FE"/>
    <w:rsid w:val="00353742"/>
    <w:rsid w:val="0035390C"/>
    <w:rsid w:val="00354742"/>
    <w:rsid w:val="00362B3B"/>
    <w:rsid w:val="00367BF7"/>
    <w:rsid w:val="00371164"/>
    <w:rsid w:val="00375B80"/>
    <w:rsid w:val="00375E39"/>
    <w:rsid w:val="00384DAC"/>
    <w:rsid w:val="00385EE8"/>
    <w:rsid w:val="00393964"/>
    <w:rsid w:val="00393F72"/>
    <w:rsid w:val="00396CEF"/>
    <w:rsid w:val="003A102B"/>
    <w:rsid w:val="003B0442"/>
    <w:rsid w:val="003B11A7"/>
    <w:rsid w:val="003B3D3D"/>
    <w:rsid w:val="003C0E8B"/>
    <w:rsid w:val="003C0F98"/>
    <w:rsid w:val="003C101E"/>
    <w:rsid w:val="003C2D91"/>
    <w:rsid w:val="003C7D4F"/>
    <w:rsid w:val="003D0667"/>
    <w:rsid w:val="003D1F56"/>
    <w:rsid w:val="003D218A"/>
    <w:rsid w:val="003D6C5B"/>
    <w:rsid w:val="003E318B"/>
    <w:rsid w:val="003E6D91"/>
    <w:rsid w:val="003E71D4"/>
    <w:rsid w:val="003E782A"/>
    <w:rsid w:val="003F3715"/>
    <w:rsid w:val="003F44C7"/>
    <w:rsid w:val="00400992"/>
    <w:rsid w:val="00400FF3"/>
    <w:rsid w:val="004076BD"/>
    <w:rsid w:val="004121B1"/>
    <w:rsid w:val="0042258E"/>
    <w:rsid w:val="004274E6"/>
    <w:rsid w:val="004305AF"/>
    <w:rsid w:val="00430FED"/>
    <w:rsid w:val="004315FA"/>
    <w:rsid w:val="00435522"/>
    <w:rsid w:val="0043589F"/>
    <w:rsid w:val="00437444"/>
    <w:rsid w:val="004414F5"/>
    <w:rsid w:val="0044437A"/>
    <w:rsid w:val="0044691D"/>
    <w:rsid w:val="00446D71"/>
    <w:rsid w:val="0045140D"/>
    <w:rsid w:val="00452CC4"/>
    <w:rsid w:val="0046222D"/>
    <w:rsid w:val="00462A6E"/>
    <w:rsid w:val="00462EB3"/>
    <w:rsid w:val="00463B6B"/>
    <w:rsid w:val="004670C8"/>
    <w:rsid w:val="00467554"/>
    <w:rsid w:val="004701B2"/>
    <w:rsid w:val="0047064B"/>
    <w:rsid w:val="00471C4A"/>
    <w:rsid w:val="0047350F"/>
    <w:rsid w:val="00475401"/>
    <w:rsid w:val="004772D8"/>
    <w:rsid w:val="0048052D"/>
    <w:rsid w:val="00480782"/>
    <w:rsid w:val="00481537"/>
    <w:rsid w:val="00483BDF"/>
    <w:rsid w:val="004840F8"/>
    <w:rsid w:val="00486E7C"/>
    <w:rsid w:val="00487950"/>
    <w:rsid w:val="004958F5"/>
    <w:rsid w:val="00495F59"/>
    <w:rsid w:val="00496276"/>
    <w:rsid w:val="00497108"/>
    <w:rsid w:val="004A086C"/>
    <w:rsid w:val="004A4582"/>
    <w:rsid w:val="004A486A"/>
    <w:rsid w:val="004A4AB7"/>
    <w:rsid w:val="004A52CB"/>
    <w:rsid w:val="004A7D83"/>
    <w:rsid w:val="004B10A2"/>
    <w:rsid w:val="004B1608"/>
    <w:rsid w:val="004B2E25"/>
    <w:rsid w:val="004B318E"/>
    <w:rsid w:val="004B4521"/>
    <w:rsid w:val="004B5476"/>
    <w:rsid w:val="004B7DE3"/>
    <w:rsid w:val="004C1EAE"/>
    <w:rsid w:val="004C2F50"/>
    <w:rsid w:val="004C34D2"/>
    <w:rsid w:val="004C458D"/>
    <w:rsid w:val="004C461D"/>
    <w:rsid w:val="004C5103"/>
    <w:rsid w:val="004C5DAE"/>
    <w:rsid w:val="004C7035"/>
    <w:rsid w:val="004C78E1"/>
    <w:rsid w:val="004D0381"/>
    <w:rsid w:val="004D087A"/>
    <w:rsid w:val="004D1A29"/>
    <w:rsid w:val="004D4A54"/>
    <w:rsid w:val="004D60B6"/>
    <w:rsid w:val="004E3CBF"/>
    <w:rsid w:val="004E535D"/>
    <w:rsid w:val="004E7743"/>
    <w:rsid w:val="004F0534"/>
    <w:rsid w:val="004F2140"/>
    <w:rsid w:val="004F6574"/>
    <w:rsid w:val="004F74EB"/>
    <w:rsid w:val="004F7754"/>
    <w:rsid w:val="004F7D78"/>
    <w:rsid w:val="00501467"/>
    <w:rsid w:val="0050262A"/>
    <w:rsid w:val="00502F03"/>
    <w:rsid w:val="00504F1E"/>
    <w:rsid w:val="00507020"/>
    <w:rsid w:val="00507AD4"/>
    <w:rsid w:val="00507ECC"/>
    <w:rsid w:val="00510604"/>
    <w:rsid w:val="00514C8E"/>
    <w:rsid w:val="005150E8"/>
    <w:rsid w:val="0052714A"/>
    <w:rsid w:val="005407C2"/>
    <w:rsid w:val="00544200"/>
    <w:rsid w:val="00544E0F"/>
    <w:rsid w:val="0054734E"/>
    <w:rsid w:val="00547947"/>
    <w:rsid w:val="005502CD"/>
    <w:rsid w:val="0055295B"/>
    <w:rsid w:val="0055321A"/>
    <w:rsid w:val="005550C7"/>
    <w:rsid w:val="0055608E"/>
    <w:rsid w:val="00557AE0"/>
    <w:rsid w:val="00560312"/>
    <w:rsid w:val="00565B20"/>
    <w:rsid w:val="00570575"/>
    <w:rsid w:val="00570EF9"/>
    <w:rsid w:val="005804BD"/>
    <w:rsid w:val="005810E5"/>
    <w:rsid w:val="0058151A"/>
    <w:rsid w:val="00582F66"/>
    <w:rsid w:val="00590582"/>
    <w:rsid w:val="005915FA"/>
    <w:rsid w:val="00591A1A"/>
    <w:rsid w:val="00592F9C"/>
    <w:rsid w:val="005956DE"/>
    <w:rsid w:val="00596F06"/>
    <w:rsid w:val="00597943"/>
    <w:rsid w:val="005B26DA"/>
    <w:rsid w:val="005B270B"/>
    <w:rsid w:val="005B2BDE"/>
    <w:rsid w:val="005B38D2"/>
    <w:rsid w:val="005B40BB"/>
    <w:rsid w:val="005C4D19"/>
    <w:rsid w:val="005C53EA"/>
    <w:rsid w:val="005D730E"/>
    <w:rsid w:val="005E5DB5"/>
    <w:rsid w:val="005E700B"/>
    <w:rsid w:val="00600030"/>
    <w:rsid w:val="00606407"/>
    <w:rsid w:val="00607F5A"/>
    <w:rsid w:val="00612D9C"/>
    <w:rsid w:val="00615642"/>
    <w:rsid w:val="006248DD"/>
    <w:rsid w:val="006259D5"/>
    <w:rsid w:val="00627B44"/>
    <w:rsid w:val="006310A0"/>
    <w:rsid w:val="00631EEA"/>
    <w:rsid w:val="006329B1"/>
    <w:rsid w:val="00632C84"/>
    <w:rsid w:val="00634CE4"/>
    <w:rsid w:val="00634FD5"/>
    <w:rsid w:val="006360A9"/>
    <w:rsid w:val="00636D1B"/>
    <w:rsid w:val="00641E37"/>
    <w:rsid w:val="00642E5E"/>
    <w:rsid w:val="00650180"/>
    <w:rsid w:val="006515D1"/>
    <w:rsid w:val="00652A48"/>
    <w:rsid w:val="006546F1"/>
    <w:rsid w:val="00654E5A"/>
    <w:rsid w:val="006566DB"/>
    <w:rsid w:val="00660F7F"/>
    <w:rsid w:val="00661377"/>
    <w:rsid w:val="00663ECC"/>
    <w:rsid w:val="00665620"/>
    <w:rsid w:val="00665CAF"/>
    <w:rsid w:val="006675C9"/>
    <w:rsid w:val="00670B69"/>
    <w:rsid w:val="00673C32"/>
    <w:rsid w:val="0067445F"/>
    <w:rsid w:val="00675C8E"/>
    <w:rsid w:val="00676BBC"/>
    <w:rsid w:val="0067789F"/>
    <w:rsid w:val="0068414C"/>
    <w:rsid w:val="006867EC"/>
    <w:rsid w:val="0069321C"/>
    <w:rsid w:val="006952E8"/>
    <w:rsid w:val="006957E3"/>
    <w:rsid w:val="006A149A"/>
    <w:rsid w:val="006A178E"/>
    <w:rsid w:val="006A2398"/>
    <w:rsid w:val="006A4487"/>
    <w:rsid w:val="006A74EE"/>
    <w:rsid w:val="006A7B24"/>
    <w:rsid w:val="006B18C7"/>
    <w:rsid w:val="006B4432"/>
    <w:rsid w:val="006B7918"/>
    <w:rsid w:val="006C20A3"/>
    <w:rsid w:val="006C5586"/>
    <w:rsid w:val="006C71BA"/>
    <w:rsid w:val="006D12AA"/>
    <w:rsid w:val="006D2602"/>
    <w:rsid w:val="006D503D"/>
    <w:rsid w:val="006E317F"/>
    <w:rsid w:val="006E37E3"/>
    <w:rsid w:val="006E5BDC"/>
    <w:rsid w:val="006E65EE"/>
    <w:rsid w:val="006F1BDB"/>
    <w:rsid w:val="006F4BC8"/>
    <w:rsid w:val="006F64F2"/>
    <w:rsid w:val="00700F74"/>
    <w:rsid w:val="0070727E"/>
    <w:rsid w:val="00712549"/>
    <w:rsid w:val="007133F6"/>
    <w:rsid w:val="00713635"/>
    <w:rsid w:val="00713692"/>
    <w:rsid w:val="0072127B"/>
    <w:rsid w:val="00722147"/>
    <w:rsid w:val="00723091"/>
    <w:rsid w:val="007262C3"/>
    <w:rsid w:val="007272E5"/>
    <w:rsid w:val="007278B1"/>
    <w:rsid w:val="00727923"/>
    <w:rsid w:val="00730AB5"/>
    <w:rsid w:val="007313B1"/>
    <w:rsid w:val="007316A9"/>
    <w:rsid w:val="007328E5"/>
    <w:rsid w:val="00733F34"/>
    <w:rsid w:val="00740AD5"/>
    <w:rsid w:val="007438CF"/>
    <w:rsid w:val="00745866"/>
    <w:rsid w:val="00747AA7"/>
    <w:rsid w:val="00750617"/>
    <w:rsid w:val="0075145B"/>
    <w:rsid w:val="007528F2"/>
    <w:rsid w:val="0075683E"/>
    <w:rsid w:val="00761870"/>
    <w:rsid w:val="00762B7B"/>
    <w:rsid w:val="00763098"/>
    <w:rsid w:val="00776398"/>
    <w:rsid w:val="00776818"/>
    <w:rsid w:val="00776B45"/>
    <w:rsid w:val="00781A83"/>
    <w:rsid w:val="00793664"/>
    <w:rsid w:val="007C053A"/>
    <w:rsid w:val="007C0C59"/>
    <w:rsid w:val="007C4C14"/>
    <w:rsid w:val="007D0425"/>
    <w:rsid w:val="007D0A29"/>
    <w:rsid w:val="007D6646"/>
    <w:rsid w:val="007D6C35"/>
    <w:rsid w:val="007E1F0A"/>
    <w:rsid w:val="007E5B9A"/>
    <w:rsid w:val="007F2AE3"/>
    <w:rsid w:val="007F2CC1"/>
    <w:rsid w:val="007F4E09"/>
    <w:rsid w:val="007F59AE"/>
    <w:rsid w:val="007F73C7"/>
    <w:rsid w:val="008056C8"/>
    <w:rsid w:val="008105D9"/>
    <w:rsid w:val="00810767"/>
    <w:rsid w:val="00811643"/>
    <w:rsid w:val="00811693"/>
    <w:rsid w:val="008140A3"/>
    <w:rsid w:val="0082404B"/>
    <w:rsid w:val="00826D16"/>
    <w:rsid w:val="00827616"/>
    <w:rsid w:val="008279B8"/>
    <w:rsid w:val="00831DDF"/>
    <w:rsid w:val="008326A4"/>
    <w:rsid w:val="00834EA1"/>
    <w:rsid w:val="00835372"/>
    <w:rsid w:val="00836370"/>
    <w:rsid w:val="008422C6"/>
    <w:rsid w:val="0084396A"/>
    <w:rsid w:val="0084430F"/>
    <w:rsid w:val="008449D0"/>
    <w:rsid w:val="00847774"/>
    <w:rsid w:val="00850A22"/>
    <w:rsid w:val="00851BCF"/>
    <w:rsid w:val="00854AFC"/>
    <w:rsid w:val="00860EE4"/>
    <w:rsid w:val="008630B8"/>
    <w:rsid w:val="00872580"/>
    <w:rsid w:val="00873238"/>
    <w:rsid w:val="00875B7B"/>
    <w:rsid w:val="00875D3C"/>
    <w:rsid w:val="0087793C"/>
    <w:rsid w:val="00880E87"/>
    <w:rsid w:val="00885F65"/>
    <w:rsid w:val="00886D70"/>
    <w:rsid w:val="008939C5"/>
    <w:rsid w:val="00894DD9"/>
    <w:rsid w:val="008A0EBA"/>
    <w:rsid w:val="008A1607"/>
    <w:rsid w:val="008A1F49"/>
    <w:rsid w:val="008A3555"/>
    <w:rsid w:val="008A35DD"/>
    <w:rsid w:val="008A6D3B"/>
    <w:rsid w:val="008B03AB"/>
    <w:rsid w:val="008B2358"/>
    <w:rsid w:val="008B509F"/>
    <w:rsid w:val="008B5444"/>
    <w:rsid w:val="008B5732"/>
    <w:rsid w:val="008B6173"/>
    <w:rsid w:val="008C12F2"/>
    <w:rsid w:val="008C16AC"/>
    <w:rsid w:val="008C4706"/>
    <w:rsid w:val="008C4B8E"/>
    <w:rsid w:val="008C5445"/>
    <w:rsid w:val="008C74A9"/>
    <w:rsid w:val="008D062B"/>
    <w:rsid w:val="008D1872"/>
    <w:rsid w:val="008D76C0"/>
    <w:rsid w:val="008E0EB2"/>
    <w:rsid w:val="008E174B"/>
    <w:rsid w:val="008E2C3A"/>
    <w:rsid w:val="008E498A"/>
    <w:rsid w:val="008E5E48"/>
    <w:rsid w:val="008E6FA7"/>
    <w:rsid w:val="008F413F"/>
    <w:rsid w:val="008F4659"/>
    <w:rsid w:val="0090036B"/>
    <w:rsid w:val="009027A5"/>
    <w:rsid w:val="00903E15"/>
    <w:rsid w:val="0090529B"/>
    <w:rsid w:val="0090552E"/>
    <w:rsid w:val="00907D16"/>
    <w:rsid w:val="00915D73"/>
    <w:rsid w:val="0091621B"/>
    <w:rsid w:val="009177D8"/>
    <w:rsid w:val="0092217A"/>
    <w:rsid w:val="00926F1B"/>
    <w:rsid w:val="009271CB"/>
    <w:rsid w:val="009301CB"/>
    <w:rsid w:val="00930C0D"/>
    <w:rsid w:val="00935D31"/>
    <w:rsid w:val="0094026D"/>
    <w:rsid w:val="00944A17"/>
    <w:rsid w:val="009453A8"/>
    <w:rsid w:val="00946ACA"/>
    <w:rsid w:val="0094763B"/>
    <w:rsid w:val="00955ED1"/>
    <w:rsid w:val="009566C3"/>
    <w:rsid w:val="00957374"/>
    <w:rsid w:val="00960C82"/>
    <w:rsid w:val="009631D2"/>
    <w:rsid w:val="00964097"/>
    <w:rsid w:val="0096600D"/>
    <w:rsid w:val="00970214"/>
    <w:rsid w:val="00971B18"/>
    <w:rsid w:val="0097519E"/>
    <w:rsid w:val="00975592"/>
    <w:rsid w:val="00975B7E"/>
    <w:rsid w:val="00983236"/>
    <w:rsid w:val="00984FE5"/>
    <w:rsid w:val="00991994"/>
    <w:rsid w:val="00993B72"/>
    <w:rsid w:val="009940DF"/>
    <w:rsid w:val="00994A9E"/>
    <w:rsid w:val="00995E83"/>
    <w:rsid w:val="00997265"/>
    <w:rsid w:val="009A2E9B"/>
    <w:rsid w:val="009A5509"/>
    <w:rsid w:val="009A7BF5"/>
    <w:rsid w:val="009B1692"/>
    <w:rsid w:val="009B5CD0"/>
    <w:rsid w:val="009B60F1"/>
    <w:rsid w:val="009C04A7"/>
    <w:rsid w:val="009C1FA8"/>
    <w:rsid w:val="009C2304"/>
    <w:rsid w:val="009C2ED8"/>
    <w:rsid w:val="009C3252"/>
    <w:rsid w:val="009C3D04"/>
    <w:rsid w:val="009C5088"/>
    <w:rsid w:val="009C67C6"/>
    <w:rsid w:val="009C764B"/>
    <w:rsid w:val="009D34F6"/>
    <w:rsid w:val="009E0AE9"/>
    <w:rsid w:val="009E22AF"/>
    <w:rsid w:val="009E32DE"/>
    <w:rsid w:val="009E6B28"/>
    <w:rsid w:val="009F45AB"/>
    <w:rsid w:val="009F552D"/>
    <w:rsid w:val="009F5C2C"/>
    <w:rsid w:val="009F7235"/>
    <w:rsid w:val="00A01BEE"/>
    <w:rsid w:val="00A15558"/>
    <w:rsid w:val="00A20D4E"/>
    <w:rsid w:val="00A30F72"/>
    <w:rsid w:val="00A3367C"/>
    <w:rsid w:val="00A349DC"/>
    <w:rsid w:val="00A35B04"/>
    <w:rsid w:val="00A41619"/>
    <w:rsid w:val="00A41D33"/>
    <w:rsid w:val="00A424CC"/>
    <w:rsid w:val="00A45B0A"/>
    <w:rsid w:val="00A530F8"/>
    <w:rsid w:val="00A543FF"/>
    <w:rsid w:val="00A63369"/>
    <w:rsid w:val="00A63418"/>
    <w:rsid w:val="00A707FD"/>
    <w:rsid w:val="00A70EB6"/>
    <w:rsid w:val="00A757AB"/>
    <w:rsid w:val="00A75DE2"/>
    <w:rsid w:val="00A76B97"/>
    <w:rsid w:val="00A76C23"/>
    <w:rsid w:val="00A86FA2"/>
    <w:rsid w:val="00A93328"/>
    <w:rsid w:val="00A96A2D"/>
    <w:rsid w:val="00A97A33"/>
    <w:rsid w:val="00AA0036"/>
    <w:rsid w:val="00AA0085"/>
    <w:rsid w:val="00AA1C6C"/>
    <w:rsid w:val="00AA382E"/>
    <w:rsid w:val="00AA4461"/>
    <w:rsid w:val="00AB0E22"/>
    <w:rsid w:val="00AB3B7C"/>
    <w:rsid w:val="00AB426E"/>
    <w:rsid w:val="00AC0509"/>
    <w:rsid w:val="00AC3778"/>
    <w:rsid w:val="00AC7E99"/>
    <w:rsid w:val="00AD375F"/>
    <w:rsid w:val="00AD3CDF"/>
    <w:rsid w:val="00AE2282"/>
    <w:rsid w:val="00AE4468"/>
    <w:rsid w:val="00AE79C0"/>
    <w:rsid w:val="00AF1D27"/>
    <w:rsid w:val="00AF2F61"/>
    <w:rsid w:val="00B07957"/>
    <w:rsid w:val="00B172D9"/>
    <w:rsid w:val="00B22001"/>
    <w:rsid w:val="00B24120"/>
    <w:rsid w:val="00B25572"/>
    <w:rsid w:val="00B318F0"/>
    <w:rsid w:val="00B31BDA"/>
    <w:rsid w:val="00B41D7F"/>
    <w:rsid w:val="00B423F2"/>
    <w:rsid w:val="00B44364"/>
    <w:rsid w:val="00B50E40"/>
    <w:rsid w:val="00B510BD"/>
    <w:rsid w:val="00B51412"/>
    <w:rsid w:val="00B5315A"/>
    <w:rsid w:val="00B535A7"/>
    <w:rsid w:val="00B546BB"/>
    <w:rsid w:val="00B57C27"/>
    <w:rsid w:val="00B62DA3"/>
    <w:rsid w:val="00B64022"/>
    <w:rsid w:val="00B66587"/>
    <w:rsid w:val="00B7549C"/>
    <w:rsid w:val="00B77529"/>
    <w:rsid w:val="00B81685"/>
    <w:rsid w:val="00B8248C"/>
    <w:rsid w:val="00B83315"/>
    <w:rsid w:val="00B87891"/>
    <w:rsid w:val="00B90618"/>
    <w:rsid w:val="00B91516"/>
    <w:rsid w:val="00B933A5"/>
    <w:rsid w:val="00B93439"/>
    <w:rsid w:val="00B97F9E"/>
    <w:rsid w:val="00BA0981"/>
    <w:rsid w:val="00BA745D"/>
    <w:rsid w:val="00BB26AE"/>
    <w:rsid w:val="00BB27F4"/>
    <w:rsid w:val="00BB7FB1"/>
    <w:rsid w:val="00BC2C8F"/>
    <w:rsid w:val="00BC3199"/>
    <w:rsid w:val="00BC4246"/>
    <w:rsid w:val="00BC5F0E"/>
    <w:rsid w:val="00BD0E51"/>
    <w:rsid w:val="00BD1886"/>
    <w:rsid w:val="00BD41F2"/>
    <w:rsid w:val="00BD4A18"/>
    <w:rsid w:val="00BE3B6A"/>
    <w:rsid w:val="00BE3D21"/>
    <w:rsid w:val="00BF0509"/>
    <w:rsid w:val="00C005BA"/>
    <w:rsid w:val="00C009DC"/>
    <w:rsid w:val="00C01F9A"/>
    <w:rsid w:val="00C057D3"/>
    <w:rsid w:val="00C15892"/>
    <w:rsid w:val="00C2162D"/>
    <w:rsid w:val="00C24AD2"/>
    <w:rsid w:val="00C24F07"/>
    <w:rsid w:val="00C323AF"/>
    <w:rsid w:val="00C33DAD"/>
    <w:rsid w:val="00C37B3F"/>
    <w:rsid w:val="00C37C45"/>
    <w:rsid w:val="00C41A0F"/>
    <w:rsid w:val="00C4615B"/>
    <w:rsid w:val="00C47C19"/>
    <w:rsid w:val="00C51D17"/>
    <w:rsid w:val="00C52955"/>
    <w:rsid w:val="00C52F70"/>
    <w:rsid w:val="00C530CA"/>
    <w:rsid w:val="00C6671F"/>
    <w:rsid w:val="00C70DBC"/>
    <w:rsid w:val="00C70EA7"/>
    <w:rsid w:val="00C7211F"/>
    <w:rsid w:val="00C72B3D"/>
    <w:rsid w:val="00C74325"/>
    <w:rsid w:val="00C75B5F"/>
    <w:rsid w:val="00C764EC"/>
    <w:rsid w:val="00C76550"/>
    <w:rsid w:val="00C80A92"/>
    <w:rsid w:val="00C839ED"/>
    <w:rsid w:val="00C87767"/>
    <w:rsid w:val="00C87771"/>
    <w:rsid w:val="00C926C4"/>
    <w:rsid w:val="00C94022"/>
    <w:rsid w:val="00CA2C17"/>
    <w:rsid w:val="00CA4848"/>
    <w:rsid w:val="00CA75CE"/>
    <w:rsid w:val="00CB004C"/>
    <w:rsid w:val="00CB03EE"/>
    <w:rsid w:val="00CB2302"/>
    <w:rsid w:val="00CB2D03"/>
    <w:rsid w:val="00CB429E"/>
    <w:rsid w:val="00CB5C8B"/>
    <w:rsid w:val="00CB6194"/>
    <w:rsid w:val="00CB68D5"/>
    <w:rsid w:val="00CB779C"/>
    <w:rsid w:val="00CC15D0"/>
    <w:rsid w:val="00CC22DC"/>
    <w:rsid w:val="00CC43D2"/>
    <w:rsid w:val="00CC4FCC"/>
    <w:rsid w:val="00CD00A0"/>
    <w:rsid w:val="00CD01B9"/>
    <w:rsid w:val="00CD4CF6"/>
    <w:rsid w:val="00CD539C"/>
    <w:rsid w:val="00CE0EB6"/>
    <w:rsid w:val="00CE28F2"/>
    <w:rsid w:val="00CE55CF"/>
    <w:rsid w:val="00CE6DCF"/>
    <w:rsid w:val="00CF2FE8"/>
    <w:rsid w:val="00CF41BF"/>
    <w:rsid w:val="00CF5EE0"/>
    <w:rsid w:val="00CF6402"/>
    <w:rsid w:val="00D027D3"/>
    <w:rsid w:val="00D048A6"/>
    <w:rsid w:val="00D07424"/>
    <w:rsid w:val="00D107F4"/>
    <w:rsid w:val="00D128DF"/>
    <w:rsid w:val="00D12D51"/>
    <w:rsid w:val="00D211F7"/>
    <w:rsid w:val="00D232AC"/>
    <w:rsid w:val="00D24906"/>
    <w:rsid w:val="00D26334"/>
    <w:rsid w:val="00D269B0"/>
    <w:rsid w:val="00D3064B"/>
    <w:rsid w:val="00D32F59"/>
    <w:rsid w:val="00D34AA6"/>
    <w:rsid w:val="00D3546A"/>
    <w:rsid w:val="00D360EC"/>
    <w:rsid w:val="00D3725D"/>
    <w:rsid w:val="00D403C2"/>
    <w:rsid w:val="00D421F5"/>
    <w:rsid w:val="00D44617"/>
    <w:rsid w:val="00D457D7"/>
    <w:rsid w:val="00D463DB"/>
    <w:rsid w:val="00D47420"/>
    <w:rsid w:val="00D4774B"/>
    <w:rsid w:val="00D53208"/>
    <w:rsid w:val="00D558A0"/>
    <w:rsid w:val="00D6156E"/>
    <w:rsid w:val="00D61E4B"/>
    <w:rsid w:val="00D64605"/>
    <w:rsid w:val="00D64C2E"/>
    <w:rsid w:val="00D659DE"/>
    <w:rsid w:val="00D70860"/>
    <w:rsid w:val="00D70D85"/>
    <w:rsid w:val="00D731E0"/>
    <w:rsid w:val="00D73E89"/>
    <w:rsid w:val="00D74B70"/>
    <w:rsid w:val="00D75631"/>
    <w:rsid w:val="00D83B80"/>
    <w:rsid w:val="00D86476"/>
    <w:rsid w:val="00D94888"/>
    <w:rsid w:val="00D949D0"/>
    <w:rsid w:val="00D949E1"/>
    <w:rsid w:val="00D94DFF"/>
    <w:rsid w:val="00D95357"/>
    <w:rsid w:val="00DB161D"/>
    <w:rsid w:val="00DB3465"/>
    <w:rsid w:val="00DB581C"/>
    <w:rsid w:val="00DB68C7"/>
    <w:rsid w:val="00DC02E8"/>
    <w:rsid w:val="00DC2250"/>
    <w:rsid w:val="00DC3AF0"/>
    <w:rsid w:val="00DC48F7"/>
    <w:rsid w:val="00DD556F"/>
    <w:rsid w:val="00DE1EEF"/>
    <w:rsid w:val="00DE4DE6"/>
    <w:rsid w:val="00DE5BE0"/>
    <w:rsid w:val="00DF0DEC"/>
    <w:rsid w:val="00DF2CA3"/>
    <w:rsid w:val="00DF36CA"/>
    <w:rsid w:val="00E028C6"/>
    <w:rsid w:val="00E03881"/>
    <w:rsid w:val="00E0498C"/>
    <w:rsid w:val="00E11885"/>
    <w:rsid w:val="00E12F2E"/>
    <w:rsid w:val="00E13481"/>
    <w:rsid w:val="00E137BD"/>
    <w:rsid w:val="00E15742"/>
    <w:rsid w:val="00E236C6"/>
    <w:rsid w:val="00E239C6"/>
    <w:rsid w:val="00E25E52"/>
    <w:rsid w:val="00E27E75"/>
    <w:rsid w:val="00E31E9F"/>
    <w:rsid w:val="00E37BD0"/>
    <w:rsid w:val="00E37ED0"/>
    <w:rsid w:val="00E45ECB"/>
    <w:rsid w:val="00E52E64"/>
    <w:rsid w:val="00E54D70"/>
    <w:rsid w:val="00E54FAF"/>
    <w:rsid w:val="00E600E3"/>
    <w:rsid w:val="00E63FBB"/>
    <w:rsid w:val="00E71B17"/>
    <w:rsid w:val="00E723D4"/>
    <w:rsid w:val="00E73187"/>
    <w:rsid w:val="00E733BD"/>
    <w:rsid w:val="00E74C44"/>
    <w:rsid w:val="00E74EEC"/>
    <w:rsid w:val="00E82758"/>
    <w:rsid w:val="00E83901"/>
    <w:rsid w:val="00E90039"/>
    <w:rsid w:val="00E90118"/>
    <w:rsid w:val="00E94A21"/>
    <w:rsid w:val="00E96911"/>
    <w:rsid w:val="00E976D7"/>
    <w:rsid w:val="00EA19DA"/>
    <w:rsid w:val="00EA23B1"/>
    <w:rsid w:val="00EA6092"/>
    <w:rsid w:val="00EB1D1B"/>
    <w:rsid w:val="00EB5EB0"/>
    <w:rsid w:val="00EC4BCE"/>
    <w:rsid w:val="00EC551B"/>
    <w:rsid w:val="00EC5A8C"/>
    <w:rsid w:val="00ED133E"/>
    <w:rsid w:val="00ED1671"/>
    <w:rsid w:val="00ED233B"/>
    <w:rsid w:val="00ED29C3"/>
    <w:rsid w:val="00ED2DBE"/>
    <w:rsid w:val="00ED3490"/>
    <w:rsid w:val="00ED3846"/>
    <w:rsid w:val="00ED479D"/>
    <w:rsid w:val="00ED6198"/>
    <w:rsid w:val="00ED715E"/>
    <w:rsid w:val="00ED73A5"/>
    <w:rsid w:val="00EE1B4D"/>
    <w:rsid w:val="00EE3B0F"/>
    <w:rsid w:val="00EE4C6B"/>
    <w:rsid w:val="00EE6D34"/>
    <w:rsid w:val="00EF2A79"/>
    <w:rsid w:val="00EF37D5"/>
    <w:rsid w:val="00EF69C8"/>
    <w:rsid w:val="00EF6E91"/>
    <w:rsid w:val="00F02339"/>
    <w:rsid w:val="00F02418"/>
    <w:rsid w:val="00F107D8"/>
    <w:rsid w:val="00F16B05"/>
    <w:rsid w:val="00F21009"/>
    <w:rsid w:val="00F23DB5"/>
    <w:rsid w:val="00F24CCB"/>
    <w:rsid w:val="00F3184C"/>
    <w:rsid w:val="00F31F3B"/>
    <w:rsid w:val="00F32A43"/>
    <w:rsid w:val="00F36AF7"/>
    <w:rsid w:val="00F40E33"/>
    <w:rsid w:val="00F4235D"/>
    <w:rsid w:val="00F45FE2"/>
    <w:rsid w:val="00F47BAE"/>
    <w:rsid w:val="00F522BC"/>
    <w:rsid w:val="00F52EA3"/>
    <w:rsid w:val="00F57DE4"/>
    <w:rsid w:val="00F60244"/>
    <w:rsid w:val="00F80F81"/>
    <w:rsid w:val="00F83C9A"/>
    <w:rsid w:val="00F85181"/>
    <w:rsid w:val="00F85292"/>
    <w:rsid w:val="00F87B69"/>
    <w:rsid w:val="00F91DCA"/>
    <w:rsid w:val="00F968FB"/>
    <w:rsid w:val="00F97E34"/>
    <w:rsid w:val="00FA0D36"/>
    <w:rsid w:val="00FA2A44"/>
    <w:rsid w:val="00FA726F"/>
    <w:rsid w:val="00FB24ED"/>
    <w:rsid w:val="00FB4EBC"/>
    <w:rsid w:val="00FB69AB"/>
    <w:rsid w:val="00FC3B08"/>
    <w:rsid w:val="00FC3DF1"/>
    <w:rsid w:val="00FD1357"/>
    <w:rsid w:val="00FD1E4F"/>
    <w:rsid w:val="00FD250E"/>
    <w:rsid w:val="00FD5EA2"/>
    <w:rsid w:val="00FD5F77"/>
    <w:rsid w:val="00FD6439"/>
    <w:rsid w:val="00FD693A"/>
    <w:rsid w:val="00FE0D76"/>
    <w:rsid w:val="00FE62F6"/>
    <w:rsid w:val="00FF19D9"/>
    <w:rsid w:val="00FF1E55"/>
    <w:rsid w:val="00FF4752"/>
    <w:rsid w:val="00FF56AE"/>
    <w:rsid w:val="00FF5A5D"/>
    <w:rsid w:val="00FF70D7"/>
    <w:rsid w:val="00FF79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E369065"/>
  <w15:docId w15:val="{908A4F31-81C1-4E20-A989-4104237AD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rPr>
  </w:style>
  <w:style w:type="paragraph" w:styleId="a4">
    <w:name w:val="footer"/>
    <w:basedOn w:val="a"/>
    <w:pPr>
      <w:tabs>
        <w:tab w:val="center" w:pos="4153"/>
        <w:tab w:val="right" w:pos="8306"/>
      </w:tabs>
      <w:snapToGrid w:val="0"/>
    </w:pPr>
    <w:rPr>
      <w:sz w:val="20"/>
    </w:rPr>
  </w:style>
  <w:style w:type="paragraph" w:styleId="a5">
    <w:name w:val="Body Text Indent"/>
    <w:basedOn w:val="a"/>
    <w:pPr>
      <w:spacing w:line="100" w:lineRule="atLeast"/>
      <w:ind w:left="540"/>
    </w:pPr>
    <w:rPr>
      <w:rFonts w:ascii="標楷體" w:eastAsia="標楷體"/>
      <w:sz w:val="16"/>
    </w:rPr>
  </w:style>
  <w:style w:type="paragraph" w:styleId="2">
    <w:name w:val="Body Text Indent 2"/>
    <w:basedOn w:val="a"/>
    <w:pPr>
      <w:numPr>
        <w:ilvl w:val="12"/>
      </w:numPr>
      <w:spacing w:line="100" w:lineRule="atLeast"/>
      <w:ind w:left="360"/>
    </w:pPr>
    <w:rPr>
      <w:rFonts w:ascii="標楷體" w:eastAsia="標楷體"/>
      <w:sz w:val="16"/>
    </w:rPr>
  </w:style>
  <w:style w:type="paragraph" w:styleId="3">
    <w:name w:val="Body Text Indent 3"/>
    <w:basedOn w:val="a"/>
    <w:pPr>
      <w:spacing w:line="100" w:lineRule="atLeast"/>
      <w:ind w:left="1620"/>
    </w:pPr>
    <w:rPr>
      <w:rFonts w:ascii="標楷體" w:eastAsia="標楷體"/>
      <w:sz w:val="16"/>
    </w:rPr>
  </w:style>
  <w:style w:type="paragraph" w:styleId="a6">
    <w:name w:val="Body Text"/>
    <w:basedOn w:val="a"/>
    <w:pPr>
      <w:spacing w:line="100" w:lineRule="atLeast"/>
    </w:pPr>
    <w:rPr>
      <w:rFonts w:ascii="標楷體" w:eastAsia="標楷體"/>
      <w:sz w:val="16"/>
    </w:rPr>
  </w:style>
  <w:style w:type="paragraph" w:styleId="a7">
    <w:name w:val="Balloon Text"/>
    <w:basedOn w:val="a"/>
    <w:semiHidden/>
    <w:rPr>
      <w:rFonts w:ascii="Arial" w:hAnsi="Arial"/>
      <w:sz w:val="18"/>
      <w:szCs w:val="18"/>
    </w:rPr>
  </w:style>
  <w:style w:type="paragraph" w:customStyle="1" w:styleId="1">
    <w:name w:val="區塊文字1"/>
    <w:basedOn w:val="a"/>
    <w:pPr>
      <w:tabs>
        <w:tab w:val="left" w:pos="960"/>
        <w:tab w:val="left" w:pos="1920"/>
        <w:tab w:val="left" w:pos="2880"/>
        <w:tab w:val="left" w:pos="3840"/>
        <w:tab w:val="left" w:pos="4800"/>
        <w:tab w:val="left" w:pos="5760"/>
        <w:tab w:val="left" w:pos="6720"/>
        <w:tab w:val="left" w:pos="7680"/>
      </w:tabs>
      <w:autoSpaceDE w:val="0"/>
      <w:autoSpaceDN w:val="0"/>
      <w:spacing w:line="240" w:lineRule="auto"/>
      <w:ind w:left="240" w:right="-1005"/>
    </w:pPr>
    <w:rPr>
      <w:rFonts w:ascii="新細明體"/>
    </w:rPr>
  </w:style>
  <w:style w:type="paragraph" w:styleId="a8">
    <w:name w:val="List Paragraph"/>
    <w:basedOn w:val="a"/>
    <w:uiPriority w:val="34"/>
    <w:qFormat/>
    <w:rsid w:val="00B25572"/>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1405931">
      <w:bodyDiv w:val="1"/>
      <w:marLeft w:val="0"/>
      <w:marRight w:val="0"/>
      <w:marTop w:val="0"/>
      <w:marBottom w:val="0"/>
      <w:divBdr>
        <w:top w:val="none" w:sz="0" w:space="0" w:color="auto"/>
        <w:left w:val="none" w:sz="0" w:space="0" w:color="auto"/>
        <w:bottom w:val="none" w:sz="0" w:space="0" w:color="auto"/>
        <w:right w:val="none" w:sz="0" w:space="0" w:color="auto"/>
      </w:divBdr>
    </w:div>
    <w:div w:id="405735758">
      <w:bodyDiv w:val="1"/>
      <w:marLeft w:val="0"/>
      <w:marRight w:val="0"/>
      <w:marTop w:val="0"/>
      <w:marBottom w:val="0"/>
      <w:divBdr>
        <w:top w:val="none" w:sz="0" w:space="0" w:color="auto"/>
        <w:left w:val="none" w:sz="0" w:space="0" w:color="auto"/>
        <w:bottom w:val="none" w:sz="0" w:space="0" w:color="auto"/>
        <w:right w:val="none" w:sz="0" w:space="0" w:color="auto"/>
      </w:divBdr>
    </w:div>
    <w:div w:id="409470894">
      <w:bodyDiv w:val="1"/>
      <w:marLeft w:val="0"/>
      <w:marRight w:val="0"/>
      <w:marTop w:val="0"/>
      <w:marBottom w:val="0"/>
      <w:divBdr>
        <w:top w:val="none" w:sz="0" w:space="0" w:color="auto"/>
        <w:left w:val="none" w:sz="0" w:space="0" w:color="auto"/>
        <w:bottom w:val="none" w:sz="0" w:space="0" w:color="auto"/>
        <w:right w:val="none" w:sz="0" w:space="0" w:color="auto"/>
      </w:divBdr>
    </w:div>
    <w:div w:id="677657162">
      <w:bodyDiv w:val="1"/>
      <w:marLeft w:val="0"/>
      <w:marRight w:val="0"/>
      <w:marTop w:val="0"/>
      <w:marBottom w:val="0"/>
      <w:divBdr>
        <w:top w:val="none" w:sz="0" w:space="0" w:color="auto"/>
        <w:left w:val="none" w:sz="0" w:space="0" w:color="auto"/>
        <w:bottom w:val="none" w:sz="0" w:space="0" w:color="auto"/>
        <w:right w:val="none" w:sz="0" w:space="0" w:color="auto"/>
      </w:divBdr>
    </w:div>
    <w:div w:id="997656386">
      <w:bodyDiv w:val="1"/>
      <w:marLeft w:val="0"/>
      <w:marRight w:val="0"/>
      <w:marTop w:val="0"/>
      <w:marBottom w:val="0"/>
      <w:divBdr>
        <w:top w:val="none" w:sz="0" w:space="0" w:color="auto"/>
        <w:left w:val="none" w:sz="0" w:space="0" w:color="auto"/>
        <w:bottom w:val="none" w:sz="0" w:space="0" w:color="auto"/>
        <w:right w:val="none" w:sz="0" w:space="0" w:color="auto"/>
      </w:divBdr>
    </w:div>
    <w:div w:id="1141731468">
      <w:bodyDiv w:val="1"/>
      <w:marLeft w:val="0"/>
      <w:marRight w:val="0"/>
      <w:marTop w:val="0"/>
      <w:marBottom w:val="0"/>
      <w:divBdr>
        <w:top w:val="none" w:sz="0" w:space="0" w:color="auto"/>
        <w:left w:val="none" w:sz="0" w:space="0" w:color="auto"/>
        <w:bottom w:val="none" w:sz="0" w:space="0" w:color="auto"/>
        <w:right w:val="none" w:sz="0" w:space="0" w:color="auto"/>
      </w:divBdr>
    </w:div>
    <w:div w:id="1574120746">
      <w:bodyDiv w:val="1"/>
      <w:marLeft w:val="0"/>
      <w:marRight w:val="0"/>
      <w:marTop w:val="0"/>
      <w:marBottom w:val="0"/>
      <w:divBdr>
        <w:top w:val="none" w:sz="0" w:space="0" w:color="auto"/>
        <w:left w:val="none" w:sz="0" w:space="0" w:color="auto"/>
        <w:bottom w:val="none" w:sz="0" w:space="0" w:color="auto"/>
        <w:right w:val="none" w:sz="0" w:space="0" w:color="auto"/>
      </w:divBdr>
    </w:div>
    <w:div w:id="1664551456">
      <w:bodyDiv w:val="1"/>
      <w:marLeft w:val="0"/>
      <w:marRight w:val="0"/>
      <w:marTop w:val="0"/>
      <w:marBottom w:val="0"/>
      <w:divBdr>
        <w:top w:val="none" w:sz="0" w:space="0" w:color="auto"/>
        <w:left w:val="none" w:sz="0" w:space="0" w:color="auto"/>
        <w:bottom w:val="none" w:sz="0" w:space="0" w:color="auto"/>
        <w:right w:val="none" w:sz="0" w:space="0" w:color="auto"/>
      </w:divBdr>
    </w:div>
    <w:div w:id="1689335392">
      <w:bodyDiv w:val="1"/>
      <w:marLeft w:val="0"/>
      <w:marRight w:val="0"/>
      <w:marTop w:val="0"/>
      <w:marBottom w:val="0"/>
      <w:divBdr>
        <w:top w:val="none" w:sz="0" w:space="0" w:color="auto"/>
        <w:left w:val="none" w:sz="0" w:space="0" w:color="auto"/>
        <w:bottom w:val="none" w:sz="0" w:space="0" w:color="auto"/>
        <w:right w:val="none" w:sz="0" w:space="0" w:color="auto"/>
      </w:divBdr>
    </w:div>
    <w:div w:id="1746537861">
      <w:bodyDiv w:val="1"/>
      <w:marLeft w:val="0"/>
      <w:marRight w:val="0"/>
      <w:marTop w:val="0"/>
      <w:marBottom w:val="0"/>
      <w:divBdr>
        <w:top w:val="none" w:sz="0" w:space="0" w:color="auto"/>
        <w:left w:val="none" w:sz="0" w:space="0" w:color="auto"/>
        <w:bottom w:val="none" w:sz="0" w:space="0" w:color="auto"/>
        <w:right w:val="none" w:sz="0" w:space="0" w:color="auto"/>
      </w:divBdr>
    </w:div>
    <w:div w:id="1851989917">
      <w:bodyDiv w:val="1"/>
      <w:marLeft w:val="0"/>
      <w:marRight w:val="0"/>
      <w:marTop w:val="0"/>
      <w:marBottom w:val="0"/>
      <w:divBdr>
        <w:top w:val="none" w:sz="0" w:space="0" w:color="auto"/>
        <w:left w:val="none" w:sz="0" w:space="0" w:color="auto"/>
        <w:bottom w:val="none" w:sz="0" w:space="0" w:color="auto"/>
        <w:right w:val="none" w:sz="0" w:space="0" w:color="auto"/>
      </w:divBdr>
    </w:div>
    <w:div w:id="1869827677">
      <w:bodyDiv w:val="1"/>
      <w:marLeft w:val="0"/>
      <w:marRight w:val="0"/>
      <w:marTop w:val="0"/>
      <w:marBottom w:val="0"/>
      <w:divBdr>
        <w:top w:val="none" w:sz="0" w:space="0" w:color="auto"/>
        <w:left w:val="none" w:sz="0" w:space="0" w:color="auto"/>
        <w:bottom w:val="none" w:sz="0" w:space="0" w:color="auto"/>
        <w:right w:val="none" w:sz="0" w:space="0" w:color="auto"/>
      </w:divBdr>
    </w:div>
    <w:div w:id="1906721785">
      <w:bodyDiv w:val="1"/>
      <w:marLeft w:val="0"/>
      <w:marRight w:val="0"/>
      <w:marTop w:val="0"/>
      <w:marBottom w:val="0"/>
      <w:divBdr>
        <w:top w:val="none" w:sz="0" w:space="0" w:color="auto"/>
        <w:left w:val="none" w:sz="0" w:space="0" w:color="auto"/>
        <w:bottom w:val="none" w:sz="0" w:space="0" w:color="auto"/>
        <w:right w:val="none" w:sz="0" w:space="0" w:color="auto"/>
      </w:divBdr>
    </w:div>
    <w:div w:id="1959798665">
      <w:bodyDiv w:val="1"/>
      <w:marLeft w:val="0"/>
      <w:marRight w:val="0"/>
      <w:marTop w:val="0"/>
      <w:marBottom w:val="0"/>
      <w:divBdr>
        <w:top w:val="none" w:sz="0" w:space="0" w:color="auto"/>
        <w:left w:val="none" w:sz="0" w:space="0" w:color="auto"/>
        <w:bottom w:val="none" w:sz="0" w:space="0" w:color="auto"/>
        <w:right w:val="none" w:sz="0" w:space="0" w:color="auto"/>
      </w:divBdr>
    </w:div>
    <w:div w:id="2064014286">
      <w:bodyDiv w:val="1"/>
      <w:marLeft w:val="0"/>
      <w:marRight w:val="0"/>
      <w:marTop w:val="0"/>
      <w:marBottom w:val="0"/>
      <w:divBdr>
        <w:top w:val="none" w:sz="0" w:space="0" w:color="auto"/>
        <w:left w:val="none" w:sz="0" w:space="0" w:color="auto"/>
        <w:bottom w:val="none" w:sz="0" w:space="0" w:color="auto"/>
        <w:right w:val="none" w:sz="0" w:space="0" w:color="auto"/>
      </w:divBdr>
    </w:div>
    <w:div w:id="2079159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F5B4AA-0A89-41BB-87BA-924641AD3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1306</Words>
  <Characters>7449</Characters>
  <Application>Microsoft Office Word</Application>
  <DocSecurity>0</DocSecurity>
  <Lines>62</Lines>
  <Paragraphs>17</Paragraphs>
  <ScaleCrop>false</ScaleCrop>
  <Company>MasterLink</Company>
  <LinksUpToDate>false</LinksUpToDate>
  <CharactersWithSpaces>8738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元富證券股份有限公司發行</dc:title>
  <dc:creator>Masterlink</dc:creator>
  <cp:lastModifiedBy>張庭榛 JOYCE</cp:lastModifiedBy>
  <cp:revision>18</cp:revision>
  <cp:lastPrinted>2008-11-24T02:33:00Z</cp:lastPrinted>
  <dcterms:created xsi:type="dcterms:W3CDTF">2021-12-01T01:58:00Z</dcterms:created>
  <dcterms:modified xsi:type="dcterms:W3CDTF">2025-10-29T01:17:00Z</dcterms:modified>
</cp:coreProperties>
</file>